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36E" w:rsidRPr="00C9350F" w:rsidRDefault="001B036E" w:rsidP="00620347">
      <w:pPr>
        <w:rPr>
          <w:rFonts w:cs="Tahoma"/>
        </w:rPr>
      </w:pPr>
    </w:p>
    <w:p w:rsidR="000A02E6" w:rsidRPr="00C9350F" w:rsidRDefault="000A02E6" w:rsidP="00620347">
      <w:pPr>
        <w:rPr>
          <w:rFonts w:cs="Tahoma"/>
          <w:b/>
        </w:rPr>
        <w:sectPr w:rsidR="000A02E6" w:rsidRPr="00C9350F" w:rsidSect="008476D5">
          <w:headerReference w:type="even" r:id="rId8"/>
          <w:headerReference w:type="default" r:id="rId9"/>
          <w:footerReference w:type="even" r:id="rId10"/>
          <w:footerReference w:type="default" r:id="rId11"/>
          <w:type w:val="continuous"/>
          <w:pgSz w:w="12240" w:h="15840" w:code="1"/>
          <w:pgMar w:top="1440" w:right="1440" w:bottom="1440" w:left="1440" w:header="720" w:footer="720" w:gutter="0"/>
          <w:cols w:space="720"/>
          <w:titlePg/>
          <w:docGrid w:linePitch="360"/>
        </w:sectPr>
      </w:pPr>
    </w:p>
    <w:p w:rsidR="00F731B3" w:rsidRPr="00C9350F" w:rsidRDefault="00064DD3" w:rsidP="00620347">
      <w:pPr>
        <w:jc w:val="center"/>
        <w:rPr>
          <w:rFonts w:cs="Tahoma"/>
          <w:b/>
          <w:sz w:val="28"/>
          <w:szCs w:val="28"/>
        </w:rPr>
      </w:pPr>
      <w:r w:rsidRPr="00C9350F">
        <w:rPr>
          <w:rFonts w:cs="Tahoma"/>
          <w:b/>
          <w:sz w:val="28"/>
          <w:szCs w:val="28"/>
        </w:rPr>
        <w:lastRenderedPageBreak/>
        <w:t xml:space="preserve">National Bank of the Republic of Macedonia </w:t>
      </w:r>
    </w:p>
    <w:p w:rsidR="00F731B3" w:rsidRPr="00C9350F" w:rsidRDefault="00A95383" w:rsidP="00620347">
      <w:pPr>
        <w:jc w:val="center"/>
        <w:rPr>
          <w:rFonts w:cs="Tahoma"/>
        </w:rPr>
      </w:pPr>
      <w:r w:rsidRPr="00C9350F">
        <w:rPr>
          <w:rFonts w:cs="Tahoma"/>
        </w:rPr>
        <w:t>Supervision, Banking Regulation and Financial Stability Sector</w:t>
      </w:r>
    </w:p>
    <w:p w:rsidR="00F731B3" w:rsidRPr="00C9350F" w:rsidRDefault="00A95383" w:rsidP="00620347">
      <w:pPr>
        <w:jc w:val="center"/>
        <w:rPr>
          <w:rFonts w:cs="Tahoma"/>
        </w:rPr>
      </w:pPr>
      <w:r w:rsidRPr="00C9350F">
        <w:rPr>
          <w:rFonts w:cs="Tahoma"/>
        </w:rPr>
        <w:t>Financial Stability and Banking Regulations Department</w:t>
      </w: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jc w:val="center"/>
        <w:rPr>
          <w:rFonts w:cs="Tahoma"/>
        </w:rPr>
      </w:pPr>
      <w:r w:rsidRPr="00C9350F">
        <w:rPr>
          <w:rFonts w:cs="Tahoma"/>
          <w:noProof/>
        </w:rPr>
        <w:drawing>
          <wp:inline distT="0" distB="0" distL="0" distR="0">
            <wp:extent cx="1772920" cy="194818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5464" t="9386" r="26363" b="20032"/>
                    <a:stretch>
                      <a:fillRect/>
                    </a:stretch>
                  </pic:blipFill>
                  <pic:spPr bwMode="auto">
                    <a:xfrm>
                      <a:off x="0" y="0"/>
                      <a:ext cx="1772920" cy="1948180"/>
                    </a:xfrm>
                    <a:prstGeom prst="rect">
                      <a:avLst/>
                    </a:prstGeom>
                    <a:noFill/>
                    <a:ln w="9525">
                      <a:noFill/>
                      <a:miter lim="800000"/>
                      <a:headEnd/>
                      <a:tailEnd/>
                    </a:ln>
                  </pic:spPr>
                </pic:pic>
              </a:graphicData>
            </a:graphic>
          </wp:inline>
        </w:drawing>
      </w:r>
    </w:p>
    <w:p w:rsidR="00F731B3" w:rsidRPr="00C9350F" w:rsidRDefault="00F731B3" w:rsidP="00620347">
      <w:pPr>
        <w:jc w:val="center"/>
        <w:rPr>
          <w:rFonts w:cs="Tahoma"/>
          <w:b/>
          <w:i/>
        </w:rPr>
      </w:pPr>
    </w:p>
    <w:p w:rsidR="00A95383" w:rsidRPr="00C9350F" w:rsidRDefault="00A95383" w:rsidP="00620347">
      <w:pPr>
        <w:jc w:val="center"/>
        <w:rPr>
          <w:rFonts w:cs="Tahoma"/>
          <w:b/>
          <w:i/>
          <w:sz w:val="36"/>
          <w:szCs w:val="36"/>
        </w:rPr>
      </w:pPr>
      <w:r w:rsidRPr="00C9350F">
        <w:rPr>
          <w:rFonts w:cs="Tahoma"/>
          <w:b/>
          <w:i/>
          <w:sz w:val="36"/>
          <w:szCs w:val="36"/>
        </w:rPr>
        <w:t xml:space="preserve">REPORT ON </w:t>
      </w:r>
      <w:r w:rsidR="007B199E">
        <w:rPr>
          <w:rFonts w:cs="Tahoma"/>
          <w:b/>
          <w:i/>
          <w:sz w:val="36"/>
          <w:szCs w:val="36"/>
        </w:rPr>
        <w:t xml:space="preserve">THE </w:t>
      </w:r>
      <w:r w:rsidRPr="00C9350F">
        <w:rPr>
          <w:rFonts w:cs="Tahoma"/>
          <w:b/>
          <w:i/>
          <w:sz w:val="36"/>
          <w:szCs w:val="36"/>
        </w:rPr>
        <w:t xml:space="preserve">RISKS IN THE BANKING SYSTEM </w:t>
      </w:r>
    </w:p>
    <w:p w:rsidR="00A95383" w:rsidRPr="00C9350F" w:rsidRDefault="00A95383" w:rsidP="00620347">
      <w:pPr>
        <w:jc w:val="center"/>
        <w:rPr>
          <w:rFonts w:cs="Tahoma"/>
          <w:b/>
          <w:i/>
          <w:sz w:val="36"/>
          <w:szCs w:val="36"/>
        </w:rPr>
      </w:pPr>
      <w:r w:rsidRPr="00C9350F">
        <w:rPr>
          <w:rFonts w:cs="Tahoma"/>
          <w:b/>
          <w:i/>
          <w:sz w:val="36"/>
          <w:szCs w:val="36"/>
        </w:rPr>
        <w:t xml:space="preserve">OF THE REPUBLIC OF MACEDONIA </w:t>
      </w:r>
    </w:p>
    <w:p w:rsidR="00F731B3" w:rsidRPr="00C9350F" w:rsidRDefault="0079152F" w:rsidP="00620347">
      <w:pPr>
        <w:jc w:val="center"/>
        <w:rPr>
          <w:rFonts w:cs="Tahoma"/>
          <w:b/>
          <w:i/>
          <w:sz w:val="36"/>
          <w:szCs w:val="36"/>
        </w:rPr>
      </w:pPr>
      <w:r>
        <w:rPr>
          <w:rFonts w:cs="Tahoma"/>
          <w:b/>
          <w:i/>
          <w:sz w:val="36"/>
          <w:szCs w:val="36"/>
        </w:rPr>
        <w:t xml:space="preserve">IN </w:t>
      </w:r>
      <w:r w:rsidR="00F51242" w:rsidRPr="00C9350F">
        <w:rPr>
          <w:rFonts w:cs="Tahoma"/>
          <w:b/>
          <w:i/>
          <w:sz w:val="36"/>
          <w:szCs w:val="36"/>
        </w:rPr>
        <w:t>201</w:t>
      </w:r>
      <w:r w:rsidR="00D22DB7" w:rsidRPr="00C9350F">
        <w:rPr>
          <w:rFonts w:cs="Tahoma"/>
          <w:b/>
          <w:i/>
          <w:sz w:val="36"/>
          <w:szCs w:val="36"/>
        </w:rPr>
        <w:t>3</w:t>
      </w:r>
      <w:r w:rsidR="00FB2929" w:rsidRPr="00C9350F">
        <w:rPr>
          <w:rFonts w:cs="Tahoma"/>
          <w:b/>
          <w:i/>
          <w:sz w:val="36"/>
          <w:szCs w:val="36"/>
        </w:rPr>
        <w:t xml:space="preserve"> </w:t>
      </w: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79152F" w:rsidP="007562D9">
      <w:pPr>
        <w:jc w:val="center"/>
        <w:rPr>
          <w:rFonts w:cs="Tahoma"/>
        </w:rPr>
      </w:pPr>
      <w:r>
        <w:rPr>
          <w:rFonts w:cs="Tahoma"/>
        </w:rPr>
        <w:t>April</w:t>
      </w:r>
      <w:r w:rsidR="00C515A4" w:rsidRPr="00C9350F">
        <w:rPr>
          <w:rFonts w:cs="Tahoma"/>
        </w:rPr>
        <w:t xml:space="preserve"> 2013</w:t>
      </w:r>
      <w:r w:rsidR="00DD679A" w:rsidRPr="00C9350F">
        <w:rPr>
          <w:rFonts w:cs="Tahoma"/>
        </w:rPr>
        <w:t xml:space="preserve"> </w:t>
      </w:r>
    </w:p>
    <w:p w:rsidR="00F731B3" w:rsidRPr="00C9350F" w:rsidRDefault="00F731B3" w:rsidP="00620347">
      <w:pPr>
        <w:rPr>
          <w:rFonts w:cs="Tahoma"/>
        </w:rPr>
      </w:pPr>
    </w:p>
    <w:p w:rsidR="00F731B3" w:rsidRPr="00C9350F" w:rsidRDefault="00F731B3" w:rsidP="00620347">
      <w:pPr>
        <w:rPr>
          <w:rFonts w:cs="Tahoma"/>
        </w:rPr>
      </w:pPr>
    </w:p>
    <w:p w:rsidR="00F731B3" w:rsidRPr="00C9350F" w:rsidRDefault="00F731B3" w:rsidP="00620347">
      <w:pPr>
        <w:rPr>
          <w:rFonts w:cs="Tahoma"/>
          <w:b/>
        </w:rPr>
        <w:sectPr w:rsidR="00F731B3" w:rsidRPr="00C9350F" w:rsidSect="008476D5">
          <w:type w:val="continuous"/>
          <w:pgSz w:w="12240" w:h="15840" w:code="1"/>
          <w:pgMar w:top="1440" w:right="1440" w:bottom="1440" w:left="1440" w:header="720" w:footer="720" w:gutter="0"/>
          <w:cols w:space="720"/>
          <w:docGrid w:linePitch="360"/>
        </w:sectPr>
      </w:pPr>
    </w:p>
    <w:sdt>
      <w:sdtPr>
        <w:rPr>
          <w:rFonts w:ascii="Tahoma" w:eastAsia="Calibri" w:hAnsi="Tahoma" w:cs="Times New Roman"/>
          <w:b w:val="0"/>
          <w:bCs w:val="0"/>
          <w:color w:val="auto"/>
          <w:sz w:val="22"/>
          <w:szCs w:val="22"/>
        </w:rPr>
        <w:id w:val="7750126"/>
        <w:docPartObj>
          <w:docPartGallery w:val="Table of Contents"/>
          <w:docPartUnique/>
        </w:docPartObj>
      </w:sdtPr>
      <w:sdtContent>
        <w:p w:rsidR="00EB6EEE" w:rsidRDefault="00EB6EEE" w:rsidP="00947C34">
          <w:pPr>
            <w:pStyle w:val="TOCHeading"/>
            <w:ind w:left="-4536"/>
          </w:pPr>
          <w:r w:rsidRPr="00947C34">
            <w:rPr>
              <w:rFonts w:ascii="Tahoma" w:hAnsi="Tahoma" w:cs="Tahoma"/>
              <w:color w:val="auto"/>
              <w:sz w:val="22"/>
              <w:szCs w:val="22"/>
            </w:rPr>
            <w:t>Contents</w:t>
          </w:r>
        </w:p>
        <w:p w:rsidR="00997FB0" w:rsidRDefault="00803610">
          <w:pPr>
            <w:pStyle w:val="TOC1"/>
            <w:rPr>
              <w:rFonts w:asciiTheme="minorHAnsi" w:hAnsiTheme="minorHAnsi" w:cstheme="minorBidi"/>
              <w:b w:val="0"/>
            </w:rPr>
          </w:pPr>
          <w:r w:rsidRPr="00803610">
            <w:fldChar w:fldCharType="begin"/>
          </w:r>
          <w:r w:rsidR="00EB6EEE">
            <w:instrText xml:space="preserve"> TOC \o "1-3" \h \z \u </w:instrText>
          </w:r>
          <w:r w:rsidRPr="00803610">
            <w:fldChar w:fldCharType="separate"/>
          </w:r>
          <w:hyperlink w:anchor="_Toc393283584" w:history="1">
            <w:r w:rsidR="00997FB0" w:rsidRPr="00CE4DDF">
              <w:rPr>
                <w:rStyle w:val="Hyperlink"/>
                <w:i/>
              </w:rPr>
              <w:t>Summary</w:t>
            </w:r>
            <w:r w:rsidR="00997FB0">
              <w:rPr>
                <w:webHidden/>
              </w:rPr>
              <w:tab/>
            </w:r>
            <w:r>
              <w:rPr>
                <w:webHidden/>
              </w:rPr>
              <w:fldChar w:fldCharType="begin"/>
            </w:r>
            <w:r w:rsidR="00997FB0">
              <w:rPr>
                <w:webHidden/>
              </w:rPr>
              <w:instrText xml:space="preserve"> PAGEREF _Toc393283584 \h </w:instrText>
            </w:r>
            <w:r>
              <w:rPr>
                <w:webHidden/>
              </w:rPr>
            </w:r>
            <w:r>
              <w:rPr>
                <w:webHidden/>
              </w:rPr>
              <w:fldChar w:fldCharType="separate"/>
            </w:r>
            <w:r w:rsidR="00997FB0">
              <w:rPr>
                <w:webHidden/>
              </w:rPr>
              <w:t>4</w:t>
            </w:r>
            <w:r>
              <w:rPr>
                <w:webHidden/>
              </w:rPr>
              <w:fldChar w:fldCharType="end"/>
            </w:r>
          </w:hyperlink>
        </w:p>
        <w:p w:rsidR="00997FB0" w:rsidRDefault="00803610">
          <w:pPr>
            <w:pStyle w:val="TOC1"/>
            <w:rPr>
              <w:rFonts w:asciiTheme="minorHAnsi" w:hAnsiTheme="minorHAnsi" w:cstheme="minorBidi"/>
              <w:b w:val="0"/>
            </w:rPr>
          </w:pPr>
          <w:hyperlink w:anchor="_Toc393283585" w:history="1">
            <w:r w:rsidR="00997FB0">
              <w:rPr>
                <w:rStyle w:val="Hyperlink"/>
              </w:rPr>
              <w:t xml:space="preserve">Part 1   </w:t>
            </w:r>
            <w:r w:rsidR="00997FB0" w:rsidRPr="00CE4DDF">
              <w:rPr>
                <w:rStyle w:val="Hyperlink"/>
              </w:rPr>
              <w:t>Risks in banking operations</w:t>
            </w:r>
            <w:r w:rsidR="00997FB0">
              <w:rPr>
                <w:webHidden/>
              </w:rPr>
              <w:tab/>
            </w:r>
            <w:r>
              <w:rPr>
                <w:webHidden/>
              </w:rPr>
              <w:fldChar w:fldCharType="begin"/>
            </w:r>
            <w:r w:rsidR="00997FB0">
              <w:rPr>
                <w:webHidden/>
              </w:rPr>
              <w:instrText xml:space="preserve"> PAGEREF _Toc393283585 \h </w:instrText>
            </w:r>
            <w:r>
              <w:rPr>
                <w:webHidden/>
              </w:rPr>
            </w:r>
            <w:r>
              <w:rPr>
                <w:webHidden/>
              </w:rPr>
              <w:fldChar w:fldCharType="separate"/>
            </w:r>
            <w:r w:rsidR="00997FB0">
              <w:rPr>
                <w:webHidden/>
              </w:rPr>
              <w:t>6</w:t>
            </w:r>
            <w:r>
              <w:rPr>
                <w:webHidden/>
              </w:rPr>
              <w:fldChar w:fldCharType="end"/>
            </w:r>
          </w:hyperlink>
        </w:p>
        <w:p w:rsidR="00997FB0" w:rsidRDefault="00803610">
          <w:pPr>
            <w:pStyle w:val="TOC1"/>
            <w:rPr>
              <w:rFonts w:asciiTheme="minorHAnsi" w:hAnsiTheme="minorHAnsi" w:cstheme="minorBidi"/>
              <w:b w:val="0"/>
            </w:rPr>
          </w:pPr>
          <w:hyperlink w:anchor="_Toc393283586" w:history="1">
            <w:r w:rsidR="00997FB0" w:rsidRPr="00CE4DDF">
              <w:rPr>
                <w:rStyle w:val="Hyperlink"/>
              </w:rPr>
              <w:t>I.</w:t>
            </w:r>
            <w:r w:rsidR="00997FB0">
              <w:rPr>
                <w:rFonts w:asciiTheme="minorHAnsi" w:hAnsiTheme="minorHAnsi" w:cstheme="minorBidi"/>
                <w:b w:val="0"/>
              </w:rPr>
              <w:tab/>
            </w:r>
            <w:r w:rsidR="00997FB0" w:rsidRPr="00CE4DDF">
              <w:rPr>
                <w:rStyle w:val="Hyperlink"/>
              </w:rPr>
              <w:t>Risks in banking operations</w:t>
            </w:r>
            <w:r w:rsidR="00997FB0">
              <w:rPr>
                <w:webHidden/>
              </w:rPr>
              <w:tab/>
            </w:r>
            <w:r>
              <w:rPr>
                <w:webHidden/>
              </w:rPr>
              <w:fldChar w:fldCharType="begin"/>
            </w:r>
            <w:r w:rsidR="00997FB0">
              <w:rPr>
                <w:webHidden/>
              </w:rPr>
              <w:instrText xml:space="preserve"> PAGEREF _Toc393283586 \h </w:instrText>
            </w:r>
            <w:r>
              <w:rPr>
                <w:webHidden/>
              </w:rPr>
            </w:r>
            <w:r>
              <w:rPr>
                <w:webHidden/>
              </w:rPr>
              <w:fldChar w:fldCharType="separate"/>
            </w:r>
            <w:r w:rsidR="00997FB0">
              <w:rPr>
                <w:webHidden/>
              </w:rPr>
              <w:t>7</w:t>
            </w:r>
            <w:r>
              <w:rPr>
                <w:webHidden/>
              </w:rPr>
              <w:fldChar w:fldCharType="end"/>
            </w:r>
          </w:hyperlink>
        </w:p>
        <w:p w:rsidR="00997FB0" w:rsidRDefault="00803610">
          <w:pPr>
            <w:pStyle w:val="TOC2"/>
            <w:rPr>
              <w:rFonts w:asciiTheme="minorHAnsi" w:eastAsiaTheme="minorEastAsia" w:hAnsiTheme="minorHAnsi" w:cstheme="minorBidi"/>
              <w:b w:val="0"/>
              <w:noProof/>
            </w:rPr>
          </w:pPr>
          <w:hyperlink w:anchor="_Toc393283587" w:history="1">
            <w:r w:rsidR="00997FB0" w:rsidRPr="00CE4DDF">
              <w:rPr>
                <w:rStyle w:val="Hyperlink"/>
                <w:noProof/>
              </w:rPr>
              <w:t>1.</w:t>
            </w:r>
            <w:r w:rsidR="00997FB0">
              <w:rPr>
                <w:rFonts w:asciiTheme="minorHAnsi" w:eastAsiaTheme="minorEastAsia" w:hAnsiTheme="minorHAnsi" w:cstheme="minorBidi"/>
                <w:b w:val="0"/>
                <w:noProof/>
              </w:rPr>
              <w:tab/>
            </w:r>
            <w:r w:rsidR="00997FB0" w:rsidRPr="00CE4DDF">
              <w:rPr>
                <w:rStyle w:val="Hyperlink"/>
                <w:noProof/>
              </w:rPr>
              <w:t>Credit Risk</w:t>
            </w:r>
            <w:r w:rsidR="00997FB0">
              <w:rPr>
                <w:noProof/>
                <w:webHidden/>
              </w:rPr>
              <w:tab/>
            </w:r>
            <w:r>
              <w:rPr>
                <w:noProof/>
                <w:webHidden/>
              </w:rPr>
              <w:fldChar w:fldCharType="begin"/>
            </w:r>
            <w:r w:rsidR="00997FB0">
              <w:rPr>
                <w:noProof/>
                <w:webHidden/>
              </w:rPr>
              <w:instrText xml:space="preserve"> PAGEREF _Toc393283587 \h </w:instrText>
            </w:r>
            <w:r>
              <w:rPr>
                <w:noProof/>
                <w:webHidden/>
              </w:rPr>
            </w:r>
            <w:r>
              <w:rPr>
                <w:noProof/>
                <w:webHidden/>
              </w:rPr>
              <w:fldChar w:fldCharType="separate"/>
            </w:r>
            <w:r w:rsidR="00997FB0">
              <w:rPr>
                <w:noProof/>
                <w:webHidden/>
              </w:rPr>
              <w:t>7</w:t>
            </w:r>
            <w:r>
              <w:rPr>
                <w:noProof/>
                <w:webHidden/>
              </w:rPr>
              <w:fldChar w:fldCharType="end"/>
            </w:r>
          </w:hyperlink>
        </w:p>
        <w:p w:rsidR="00997FB0" w:rsidRDefault="00803610">
          <w:pPr>
            <w:pStyle w:val="TOC3"/>
            <w:rPr>
              <w:rFonts w:asciiTheme="minorHAnsi" w:eastAsiaTheme="minorEastAsia" w:hAnsiTheme="minorHAnsi" w:cstheme="minorBidi"/>
              <w:noProof/>
            </w:rPr>
          </w:pPr>
          <w:hyperlink w:anchor="_Toc393283588" w:history="1">
            <w:r w:rsidR="00997FB0" w:rsidRPr="00CE4DDF">
              <w:rPr>
                <w:rStyle w:val="Hyperlink"/>
                <w:noProof/>
              </w:rPr>
              <w:t>1.1.</w:t>
            </w:r>
            <w:r w:rsidR="00997FB0">
              <w:rPr>
                <w:rFonts w:asciiTheme="minorHAnsi" w:eastAsiaTheme="minorEastAsia" w:hAnsiTheme="minorHAnsi" w:cstheme="minorBidi"/>
                <w:noProof/>
              </w:rPr>
              <w:tab/>
            </w:r>
            <w:r w:rsidR="00997FB0" w:rsidRPr="00CE4DDF">
              <w:rPr>
                <w:rStyle w:val="Hyperlink"/>
                <w:noProof/>
              </w:rPr>
              <w:t>Banking system's loan portfolio quality</w:t>
            </w:r>
            <w:r w:rsidR="00997FB0">
              <w:rPr>
                <w:noProof/>
                <w:webHidden/>
              </w:rPr>
              <w:tab/>
            </w:r>
            <w:r>
              <w:rPr>
                <w:noProof/>
                <w:webHidden/>
              </w:rPr>
              <w:fldChar w:fldCharType="begin"/>
            </w:r>
            <w:r w:rsidR="00997FB0">
              <w:rPr>
                <w:noProof/>
                <w:webHidden/>
              </w:rPr>
              <w:instrText xml:space="preserve"> PAGEREF _Toc393283588 \h </w:instrText>
            </w:r>
            <w:r>
              <w:rPr>
                <w:noProof/>
                <w:webHidden/>
              </w:rPr>
            </w:r>
            <w:r>
              <w:rPr>
                <w:noProof/>
                <w:webHidden/>
              </w:rPr>
              <w:fldChar w:fldCharType="separate"/>
            </w:r>
            <w:r w:rsidR="00997FB0">
              <w:rPr>
                <w:noProof/>
                <w:webHidden/>
              </w:rPr>
              <w:t>8</w:t>
            </w:r>
            <w:r>
              <w:rPr>
                <w:noProof/>
                <w:webHidden/>
              </w:rPr>
              <w:fldChar w:fldCharType="end"/>
            </w:r>
          </w:hyperlink>
        </w:p>
        <w:p w:rsidR="00997FB0" w:rsidRDefault="00803610">
          <w:pPr>
            <w:pStyle w:val="TOC3"/>
            <w:rPr>
              <w:rFonts w:asciiTheme="minorHAnsi" w:eastAsiaTheme="minorEastAsia" w:hAnsiTheme="minorHAnsi" w:cstheme="minorBidi"/>
              <w:noProof/>
            </w:rPr>
          </w:pPr>
          <w:hyperlink w:anchor="_Toc393283589" w:history="1">
            <w:r w:rsidR="00997FB0" w:rsidRPr="00CE4DDF">
              <w:rPr>
                <w:rStyle w:val="Hyperlink"/>
                <w:noProof/>
              </w:rPr>
              <w:t>1.2.</w:t>
            </w:r>
            <w:r w:rsidR="00997FB0">
              <w:rPr>
                <w:rFonts w:asciiTheme="minorHAnsi" w:eastAsiaTheme="minorEastAsia" w:hAnsiTheme="minorHAnsi" w:cstheme="minorBidi"/>
                <w:noProof/>
              </w:rPr>
              <w:tab/>
            </w:r>
            <w:r w:rsidR="00997FB0" w:rsidRPr="00CE4DDF">
              <w:rPr>
                <w:rStyle w:val="Hyperlink"/>
                <w:noProof/>
              </w:rPr>
              <w:t>Stress-test simulation of the sensitivity of the banking system to increased credit risk</w:t>
            </w:r>
            <w:r w:rsidR="00997FB0">
              <w:rPr>
                <w:noProof/>
                <w:webHidden/>
              </w:rPr>
              <w:tab/>
            </w:r>
            <w:r>
              <w:rPr>
                <w:noProof/>
                <w:webHidden/>
              </w:rPr>
              <w:fldChar w:fldCharType="begin"/>
            </w:r>
            <w:r w:rsidR="00997FB0">
              <w:rPr>
                <w:noProof/>
                <w:webHidden/>
              </w:rPr>
              <w:instrText xml:space="preserve"> PAGEREF _Toc393283589 \h </w:instrText>
            </w:r>
            <w:r>
              <w:rPr>
                <w:noProof/>
                <w:webHidden/>
              </w:rPr>
            </w:r>
            <w:r>
              <w:rPr>
                <w:noProof/>
                <w:webHidden/>
              </w:rPr>
              <w:fldChar w:fldCharType="separate"/>
            </w:r>
            <w:r w:rsidR="00997FB0">
              <w:rPr>
                <w:noProof/>
                <w:webHidden/>
              </w:rPr>
              <w:t>18</w:t>
            </w:r>
            <w:r>
              <w:rPr>
                <w:noProof/>
                <w:webHidden/>
              </w:rPr>
              <w:fldChar w:fldCharType="end"/>
            </w:r>
          </w:hyperlink>
        </w:p>
        <w:p w:rsidR="00997FB0" w:rsidRDefault="00803610">
          <w:pPr>
            <w:pStyle w:val="TOC2"/>
            <w:rPr>
              <w:rFonts w:asciiTheme="minorHAnsi" w:eastAsiaTheme="minorEastAsia" w:hAnsiTheme="minorHAnsi" w:cstheme="minorBidi"/>
              <w:b w:val="0"/>
              <w:noProof/>
            </w:rPr>
          </w:pPr>
          <w:hyperlink w:anchor="_Toc393283590" w:history="1">
            <w:r w:rsidR="00997FB0" w:rsidRPr="00CE4DDF">
              <w:rPr>
                <w:rStyle w:val="Hyperlink"/>
                <w:noProof/>
              </w:rPr>
              <w:t>2.</w:t>
            </w:r>
            <w:r w:rsidR="00997FB0">
              <w:rPr>
                <w:rFonts w:asciiTheme="minorHAnsi" w:eastAsiaTheme="minorEastAsia" w:hAnsiTheme="minorHAnsi" w:cstheme="minorBidi"/>
                <w:b w:val="0"/>
                <w:noProof/>
              </w:rPr>
              <w:tab/>
            </w:r>
            <w:r w:rsidR="00997FB0" w:rsidRPr="00CE4DDF">
              <w:rPr>
                <w:rStyle w:val="Hyperlink"/>
                <w:noProof/>
              </w:rPr>
              <w:t>Liquidity risk</w:t>
            </w:r>
            <w:r w:rsidR="00997FB0">
              <w:rPr>
                <w:noProof/>
                <w:webHidden/>
              </w:rPr>
              <w:tab/>
            </w:r>
            <w:r>
              <w:rPr>
                <w:noProof/>
                <w:webHidden/>
              </w:rPr>
              <w:fldChar w:fldCharType="begin"/>
            </w:r>
            <w:r w:rsidR="00997FB0">
              <w:rPr>
                <w:noProof/>
                <w:webHidden/>
              </w:rPr>
              <w:instrText xml:space="preserve"> PAGEREF _Toc393283590 \h </w:instrText>
            </w:r>
            <w:r>
              <w:rPr>
                <w:noProof/>
                <w:webHidden/>
              </w:rPr>
            </w:r>
            <w:r>
              <w:rPr>
                <w:noProof/>
                <w:webHidden/>
              </w:rPr>
              <w:fldChar w:fldCharType="separate"/>
            </w:r>
            <w:r w:rsidR="00997FB0">
              <w:rPr>
                <w:noProof/>
                <w:webHidden/>
              </w:rPr>
              <w:t>21</w:t>
            </w:r>
            <w:r>
              <w:rPr>
                <w:noProof/>
                <w:webHidden/>
              </w:rPr>
              <w:fldChar w:fldCharType="end"/>
            </w:r>
          </w:hyperlink>
        </w:p>
        <w:p w:rsidR="00997FB0" w:rsidRDefault="00803610">
          <w:pPr>
            <w:pStyle w:val="TOC3"/>
            <w:rPr>
              <w:rFonts w:asciiTheme="minorHAnsi" w:eastAsiaTheme="minorEastAsia" w:hAnsiTheme="minorHAnsi" w:cstheme="minorBidi"/>
              <w:noProof/>
            </w:rPr>
          </w:pPr>
          <w:hyperlink w:anchor="_Toc393283591" w:history="1">
            <w:r w:rsidR="00997FB0" w:rsidRPr="00CE4DDF">
              <w:rPr>
                <w:rStyle w:val="Hyperlink"/>
                <w:noProof/>
              </w:rPr>
              <w:t>2.1.</w:t>
            </w:r>
            <w:r w:rsidR="00997FB0">
              <w:rPr>
                <w:rFonts w:asciiTheme="minorHAnsi" w:eastAsiaTheme="minorEastAsia" w:hAnsiTheme="minorHAnsi" w:cstheme="minorBidi"/>
                <w:noProof/>
              </w:rPr>
              <w:tab/>
            </w:r>
            <w:r w:rsidR="00997FB0" w:rsidRPr="00CE4DDF">
              <w:rPr>
                <w:rStyle w:val="Hyperlink"/>
                <w:noProof/>
              </w:rPr>
              <w:t>Amount, composition and changes in the liquid assets</w:t>
            </w:r>
            <w:r w:rsidR="00997FB0">
              <w:rPr>
                <w:noProof/>
                <w:webHidden/>
              </w:rPr>
              <w:tab/>
            </w:r>
            <w:r>
              <w:rPr>
                <w:noProof/>
                <w:webHidden/>
              </w:rPr>
              <w:fldChar w:fldCharType="begin"/>
            </w:r>
            <w:r w:rsidR="00997FB0">
              <w:rPr>
                <w:noProof/>
                <w:webHidden/>
              </w:rPr>
              <w:instrText xml:space="preserve"> PAGEREF _Toc393283591 \h </w:instrText>
            </w:r>
            <w:r>
              <w:rPr>
                <w:noProof/>
                <w:webHidden/>
              </w:rPr>
            </w:r>
            <w:r>
              <w:rPr>
                <w:noProof/>
                <w:webHidden/>
              </w:rPr>
              <w:fldChar w:fldCharType="separate"/>
            </w:r>
            <w:r w:rsidR="00997FB0">
              <w:rPr>
                <w:noProof/>
                <w:webHidden/>
              </w:rPr>
              <w:t>22</w:t>
            </w:r>
            <w:r>
              <w:rPr>
                <w:noProof/>
                <w:webHidden/>
              </w:rPr>
              <w:fldChar w:fldCharType="end"/>
            </w:r>
          </w:hyperlink>
        </w:p>
        <w:p w:rsidR="00997FB0" w:rsidRDefault="00803610">
          <w:pPr>
            <w:pStyle w:val="TOC3"/>
            <w:rPr>
              <w:rFonts w:asciiTheme="minorHAnsi" w:eastAsiaTheme="minorEastAsia" w:hAnsiTheme="minorHAnsi" w:cstheme="minorBidi"/>
              <w:noProof/>
            </w:rPr>
          </w:pPr>
          <w:hyperlink w:anchor="_Toc393283592" w:history="1">
            <w:r w:rsidR="00997FB0" w:rsidRPr="00CE4DDF">
              <w:rPr>
                <w:rStyle w:val="Hyperlink"/>
                <w:noProof/>
              </w:rPr>
              <w:t>2.2.</w:t>
            </w:r>
            <w:r w:rsidR="00997FB0">
              <w:rPr>
                <w:rFonts w:asciiTheme="minorHAnsi" w:eastAsiaTheme="minorEastAsia" w:hAnsiTheme="minorHAnsi" w:cstheme="minorBidi"/>
                <w:noProof/>
              </w:rPr>
              <w:tab/>
            </w:r>
            <w:r w:rsidR="00997FB0" w:rsidRPr="00CE4DDF">
              <w:rPr>
                <w:rStyle w:val="Hyperlink"/>
                <w:noProof/>
              </w:rPr>
              <w:t>Liquidity ratios</w:t>
            </w:r>
            <w:r w:rsidR="00997FB0">
              <w:rPr>
                <w:noProof/>
                <w:webHidden/>
              </w:rPr>
              <w:tab/>
            </w:r>
            <w:r>
              <w:rPr>
                <w:noProof/>
                <w:webHidden/>
              </w:rPr>
              <w:fldChar w:fldCharType="begin"/>
            </w:r>
            <w:r w:rsidR="00997FB0">
              <w:rPr>
                <w:noProof/>
                <w:webHidden/>
              </w:rPr>
              <w:instrText xml:space="preserve"> PAGEREF _Toc393283592 \h </w:instrText>
            </w:r>
            <w:r>
              <w:rPr>
                <w:noProof/>
                <w:webHidden/>
              </w:rPr>
            </w:r>
            <w:r>
              <w:rPr>
                <w:noProof/>
                <w:webHidden/>
              </w:rPr>
              <w:fldChar w:fldCharType="separate"/>
            </w:r>
            <w:r w:rsidR="00997FB0">
              <w:rPr>
                <w:noProof/>
                <w:webHidden/>
              </w:rPr>
              <w:t>26</w:t>
            </w:r>
            <w:r>
              <w:rPr>
                <w:noProof/>
                <w:webHidden/>
              </w:rPr>
              <w:fldChar w:fldCharType="end"/>
            </w:r>
          </w:hyperlink>
        </w:p>
        <w:p w:rsidR="00997FB0" w:rsidRDefault="00803610">
          <w:pPr>
            <w:pStyle w:val="TOC3"/>
            <w:rPr>
              <w:rFonts w:asciiTheme="minorHAnsi" w:eastAsiaTheme="minorEastAsia" w:hAnsiTheme="minorHAnsi" w:cstheme="minorBidi"/>
              <w:noProof/>
            </w:rPr>
          </w:pPr>
          <w:hyperlink w:anchor="_Toc393283593" w:history="1">
            <w:r w:rsidR="00997FB0" w:rsidRPr="00CE4DDF">
              <w:rPr>
                <w:rStyle w:val="Hyperlink"/>
                <w:noProof/>
              </w:rPr>
              <w:t>2.3.</w:t>
            </w:r>
            <w:r w:rsidR="00997FB0">
              <w:rPr>
                <w:rFonts w:asciiTheme="minorHAnsi" w:eastAsiaTheme="minorEastAsia" w:hAnsiTheme="minorHAnsi" w:cstheme="minorBidi"/>
                <w:noProof/>
              </w:rPr>
              <w:tab/>
            </w:r>
            <w:r w:rsidR="00997FB0" w:rsidRPr="00CE4DDF">
              <w:rPr>
                <w:rStyle w:val="Hyperlink"/>
                <w:noProof/>
              </w:rPr>
              <w:t>Funding sources and maturity (mis)match between assets and liabilities</w:t>
            </w:r>
            <w:r w:rsidR="00997FB0">
              <w:rPr>
                <w:noProof/>
                <w:webHidden/>
              </w:rPr>
              <w:tab/>
            </w:r>
            <w:r>
              <w:rPr>
                <w:noProof/>
                <w:webHidden/>
              </w:rPr>
              <w:fldChar w:fldCharType="begin"/>
            </w:r>
            <w:r w:rsidR="00997FB0">
              <w:rPr>
                <w:noProof/>
                <w:webHidden/>
              </w:rPr>
              <w:instrText xml:space="preserve"> PAGEREF _Toc393283593 \h </w:instrText>
            </w:r>
            <w:r>
              <w:rPr>
                <w:noProof/>
                <w:webHidden/>
              </w:rPr>
            </w:r>
            <w:r>
              <w:rPr>
                <w:noProof/>
                <w:webHidden/>
              </w:rPr>
              <w:fldChar w:fldCharType="separate"/>
            </w:r>
            <w:r w:rsidR="00997FB0">
              <w:rPr>
                <w:noProof/>
                <w:webHidden/>
              </w:rPr>
              <w:t>30</w:t>
            </w:r>
            <w:r>
              <w:rPr>
                <w:noProof/>
                <w:webHidden/>
              </w:rPr>
              <w:fldChar w:fldCharType="end"/>
            </w:r>
          </w:hyperlink>
        </w:p>
        <w:p w:rsidR="00997FB0" w:rsidRDefault="00803610">
          <w:pPr>
            <w:pStyle w:val="TOC3"/>
            <w:rPr>
              <w:rFonts w:asciiTheme="minorHAnsi" w:eastAsiaTheme="minorEastAsia" w:hAnsiTheme="minorHAnsi" w:cstheme="minorBidi"/>
              <w:noProof/>
            </w:rPr>
          </w:pPr>
          <w:hyperlink w:anchor="_Toc393283594" w:history="1">
            <w:r w:rsidR="00997FB0" w:rsidRPr="00CE4DDF">
              <w:rPr>
                <w:rStyle w:val="Hyperlink"/>
                <w:noProof/>
              </w:rPr>
              <w:t>2.4.</w:t>
            </w:r>
            <w:r w:rsidR="00997FB0">
              <w:rPr>
                <w:rFonts w:asciiTheme="minorHAnsi" w:eastAsiaTheme="minorEastAsia" w:hAnsiTheme="minorHAnsi" w:cstheme="minorBidi"/>
                <w:noProof/>
              </w:rPr>
              <w:tab/>
            </w:r>
            <w:r w:rsidR="00997FB0" w:rsidRPr="00CE4DDF">
              <w:rPr>
                <w:rStyle w:val="Hyperlink"/>
                <w:noProof/>
              </w:rPr>
              <w:t>Stress-testing of the sensitivity of the banking system to increased liquidity risk</w:t>
            </w:r>
            <w:r w:rsidR="00997FB0">
              <w:rPr>
                <w:noProof/>
                <w:webHidden/>
              </w:rPr>
              <w:tab/>
            </w:r>
            <w:r>
              <w:rPr>
                <w:noProof/>
                <w:webHidden/>
              </w:rPr>
              <w:fldChar w:fldCharType="begin"/>
            </w:r>
            <w:r w:rsidR="00997FB0">
              <w:rPr>
                <w:noProof/>
                <w:webHidden/>
              </w:rPr>
              <w:instrText xml:space="preserve"> PAGEREF _Toc393283594 \h </w:instrText>
            </w:r>
            <w:r>
              <w:rPr>
                <w:noProof/>
                <w:webHidden/>
              </w:rPr>
            </w:r>
            <w:r>
              <w:rPr>
                <w:noProof/>
                <w:webHidden/>
              </w:rPr>
              <w:fldChar w:fldCharType="separate"/>
            </w:r>
            <w:r w:rsidR="00997FB0">
              <w:rPr>
                <w:noProof/>
                <w:webHidden/>
              </w:rPr>
              <w:t>33</w:t>
            </w:r>
            <w:r>
              <w:rPr>
                <w:noProof/>
                <w:webHidden/>
              </w:rPr>
              <w:fldChar w:fldCharType="end"/>
            </w:r>
          </w:hyperlink>
        </w:p>
        <w:p w:rsidR="00997FB0" w:rsidRDefault="00803610">
          <w:pPr>
            <w:pStyle w:val="TOC2"/>
            <w:rPr>
              <w:rFonts w:asciiTheme="minorHAnsi" w:eastAsiaTheme="minorEastAsia" w:hAnsiTheme="minorHAnsi" w:cstheme="minorBidi"/>
              <w:b w:val="0"/>
              <w:noProof/>
            </w:rPr>
          </w:pPr>
          <w:hyperlink w:anchor="_Toc393283595" w:history="1">
            <w:r w:rsidR="00997FB0" w:rsidRPr="00CE4DDF">
              <w:rPr>
                <w:rStyle w:val="Hyperlink"/>
                <w:noProof/>
              </w:rPr>
              <w:t>3.</w:t>
            </w:r>
            <w:r w:rsidR="00997FB0">
              <w:rPr>
                <w:rFonts w:asciiTheme="minorHAnsi" w:eastAsiaTheme="minorEastAsia" w:hAnsiTheme="minorHAnsi" w:cstheme="minorBidi"/>
                <w:b w:val="0"/>
                <w:noProof/>
              </w:rPr>
              <w:tab/>
            </w:r>
            <w:r w:rsidR="00997FB0" w:rsidRPr="00CE4DDF">
              <w:rPr>
                <w:rStyle w:val="Hyperlink"/>
                <w:noProof/>
              </w:rPr>
              <w:t>Currency risk</w:t>
            </w:r>
            <w:r w:rsidR="00997FB0">
              <w:rPr>
                <w:noProof/>
                <w:webHidden/>
              </w:rPr>
              <w:tab/>
            </w:r>
            <w:r>
              <w:rPr>
                <w:noProof/>
                <w:webHidden/>
              </w:rPr>
              <w:fldChar w:fldCharType="begin"/>
            </w:r>
            <w:r w:rsidR="00997FB0">
              <w:rPr>
                <w:noProof/>
                <w:webHidden/>
              </w:rPr>
              <w:instrText xml:space="preserve"> PAGEREF _Toc393283595 \h </w:instrText>
            </w:r>
            <w:r>
              <w:rPr>
                <w:noProof/>
                <w:webHidden/>
              </w:rPr>
            </w:r>
            <w:r>
              <w:rPr>
                <w:noProof/>
                <w:webHidden/>
              </w:rPr>
              <w:fldChar w:fldCharType="separate"/>
            </w:r>
            <w:r w:rsidR="00997FB0">
              <w:rPr>
                <w:noProof/>
                <w:webHidden/>
              </w:rPr>
              <w:t>34</w:t>
            </w:r>
            <w:r>
              <w:rPr>
                <w:noProof/>
                <w:webHidden/>
              </w:rPr>
              <w:fldChar w:fldCharType="end"/>
            </w:r>
          </w:hyperlink>
        </w:p>
        <w:p w:rsidR="00997FB0" w:rsidRDefault="00803610">
          <w:pPr>
            <w:pStyle w:val="TOC2"/>
            <w:rPr>
              <w:rFonts w:asciiTheme="minorHAnsi" w:eastAsiaTheme="minorEastAsia" w:hAnsiTheme="minorHAnsi" w:cstheme="minorBidi"/>
              <w:b w:val="0"/>
              <w:noProof/>
            </w:rPr>
          </w:pPr>
          <w:hyperlink w:anchor="_Toc393283596" w:history="1">
            <w:r w:rsidR="00997FB0" w:rsidRPr="00CE4DDF">
              <w:rPr>
                <w:rStyle w:val="Hyperlink"/>
                <w:noProof/>
              </w:rPr>
              <w:t>4.</w:t>
            </w:r>
            <w:r w:rsidR="00997FB0">
              <w:rPr>
                <w:rFonts w:asciiTheme="minorHAnsi" w:eastAsiaTheme="minorEastAsia" w:hAnsiTheme="minorHAnsi" w:cstheme="minorBidi"/>
                <w:b w:val="0"/>
                <w:noProof/>
              </w:rPr>
              <w:tab/>
            </w:r>
            <w:r w:rsidR="00997FB0" w:rsidRPr="00CE4DDF">
              <w:rPr>
                <w:rStyle w:val="Hyperlink"/>
                <w:noProof/>
              </w:rPr>
              <w:t>Interest rate risk in the banking book</w:t>
            </w:r>
            <w:r w:rsidR="00997FB0">
              <w:rPr>
                <w:noProof/>
                <w:webHidden/>
              </w:rPr>
              <w:tab/>
            </w:r>
            <w:r>
              <w:rPr>
                <w:noProof/>
                <w:webHidden/>
              </w:rPr>
              <w:fldChar w:fldCharType="begin"/>
            </w:r>
            <w:r w:rsidR="00997FB0">
              <w:rPr>
                <w:noProof/>
                <w:webHidden/>
              </w:rPr>
              <w:instrText xml:space="preserve"> PAGEREF _Toc393283596 \h </w:instrText>
            </w:r>
            <w:r>
              <w:rPr>
                <w:noProof/>
                <w:webHidden/>
              </w:rPr>
            </w:r>
            <w:r>
              <w:rPr>
                <w:noProof/>
                <w:webHidden/>
              </w:rPr>
              <w:fldChar w:fldCharType="separate"/>
            </w:r>
            <w:r w:rsidR="00997FB0">
              <w:rPr>
                <w:noProof/>
                <w:webHidden/>
              </w:rPr>
              <w:t>38</w:t>
            </w:r>
            <w:r>
              <w:rPr>
                <w:noProof/>
                <w:webHidden/>
              </w:rPr>
              <w:fldChar w:fldCharType="end"/>
            </w:r>
          </w:hyperlink>
        </w:p>
        <w:p w:rsidR="00997FB0" w:rsidRDefault="00803610">
          <w:pPr>
            <w:pStyle w:val="TOC2"/>
            <w:rPr>
              <w:rFonts w:asciiTheme="minorHAnsi" w:eastAsiaTheme="minorEastAsia" w:hAnsiTheme="minorHAnsi" w:cstheme="minorBidi"/>
              <w:b w:val="0"/>
              <w:noProof/>
            </w:rPr>
          </w:pPr>
          <w:hyperlink w:anchor="_Toc393283597" w:history="1">
            <w:r w:rsidR="00997FB0" w:rsidRPr="00CE4DDF">
              <w:rPr>
                <w:rStyle w:val="Hyperlink"/>
                <w:noProof/>
              </w:rPr>
              <w:t>5.</w:t>
            </w:r>
            <w:r w:rsidR="00997FB0">
              <w:rPr>
                <w:rFonts w:asciiTheme="minorHAnsi" w:eastAsiaTheme="minorEastAsia" w:hAnsiTheme="minorHAnsi" w:cstheme="minorBidi"/>
                <w:b w:val="0"/>
                <w:noProof/>
              </w:rPr>
              <w:tab/>
            </w:r>
            <w:r w:rsidR="00997FB0" w:rsidRPr="00CE4DDF">
              <w:rPr>
                <w:rStyle w:val="Hyperlink"/>
                <w:noProof/>
              </w:rPr>
              <w:t>Insolvency risk</w:t>
            </w:r>
            <w:r w:rsidR="00997FB0">
              <w:rPr>
                <w:noProof/>
                <w:webHidden/>
              </w:rPr>
              <w:tab/>
            </w:r>
            <w:r>
              <w:rPr>
                <w:noProof/>
                <w:webHidden/>
              </w:rPr>
              <w:fldChar w:fldCharType="begin"/>
            </w:r>
            <w:r w:rsidR="00997FB0">
              <w:rPr>
                <w:noProof/>
                <w:webHidden/>
              </w:rPr>
              <w:instrText xml:space="preserve"> PAGEREF _Toc393283597 \h </w:instrText>
            </w:r>
            <w:r>
              <w:rPr>
                <w:noProof/>
                <w:webHidden/>
              </w:rPr>
            </w:r>
            <w:r>
              <w:rPr>
                <w:noProof/>
                <w:webHidden/>
              </w:rPr>
              <w:fldChar w:fldCharType="separate"/>
            </w:r>
            <w:r w:rsidR="00997FB0">
              <w:rPr>
                <w:noProof/>
                <w:webHidden/>
              </w:rPr>
              <w:t>42</w:t>
            </w:r>
            <w:r>
              <w:rPr>
                <w:noProof/>
                <w:webHidden/>
              </w:rPr>
              <w:fldChar w:fldCharType="end"/>
            </w:r>
          </w:hyperlink>
        </w:p>
        <w:p w:rsidR="00997FB0" w:rsidRDefault="00803610">
          <w:pPr>
            <w:pStyle w:val="TOC3"/>
            <w:rPr>
              <w:rFonts w:asciiTheme="minorHAnsi" w:eastAsiaTheme="minorEastAsia" w:hAnsiTheme="minorHAnsi" w:cstheme="minorBidi"/>
              <w:noProof/>
            </w:rPr>
          </w:pPr>
          <w:hyperlink w:anchor="_Toc393283598" w:history="1">
            <w:r w:rsidR="00997FB0" w:rsidRPr="00CE4DDF">
              <w:rPr>
                <w:rStyle w:val="Hyperlink"/>
                <w:noProof/>
              </w:rPr>
              <w:t>5.1.</w:t>
            </w:r>
            <w:r w:rsidR="00997FB0">
              <w:rPr>
                <w:rFonts w:asciiTheme="minorHAnsi" w:eastAsiaTheme="minorEastAsia" w:hAnsiTheme="minorHAnsi" w:cstheme="minorBidi"/>
                <w:noProof/>
              </w:rPr>
              <w:tab/>
            </w:r>
            <w:r w:rsidR="00997FB0" w:rsidRPr="00CE4DDF">
              <w:rPr>
                <w:rStyle w:val="Hyperlink"/>
                <w:noProof/>
              </w:rPr>
              <w:t>Solvency and capitalization ratios of the banking system</w:t>
            </w:r>
            <w:r w:rsidR="00997FB0">
              <w:rPr>
                <w:noProof/>
                <w:webHidden/>
              </w:rPr>
              <w:tab/>
            </w:r>
            <w:r>
              <w:rPr>
                <w:noProof/>
                <w:webHidden/>
              </w:rPr>
              <w:fldChar w:fldCharType="begin"/>
            </w:r>
            <w:r w:rsidR="00997FB0">
              <w:rPr>
                <w:noProof/>
                <w:webHidden/>
              </w:rPr>
              <w:instrText xml:space="preserve"> PAGEREF _Toc393283598 \h </w:instrText>
            </w:r>
            <w:r>
              <w:rPr>
                <w:noProof/>
                <w:webHidden/>
              </w:rPr>
            </w:r>
            <w:r>
              <w:rPr>
                <w:noProof/>
                <w:webHidden/>
              </w:rPr>
              <w:fldChar w:fldCharType="separate"/>
            </w:r>
            <w:r w:rsidR="00997FB0">
              <w:rPr>
                <w:noProof/>
                <w:webHidden/>
              </w:rPr>
              <w:t>42</w:t>
            </w:r>
            <w:r>
              <w:rPr>
                <w:noProof/>
                <w:webHidden/>
              </w:rPr>
              <w:fldChar w:fldCharType="end"/>
            </w:r>
          </w:hyperlink>
        </w:p>
        <w:p w:rsidR="00997FB0" w:rsidRDefault="00803610">
          <w:pPr>
            <w:pStyle w:val="TOC3"/>
            <w:rPr>
              <w:rFonts w:asciiTheme="minorHAnsi" w:eastAsiaTheme="minorEastAsia" w:hAnsiTheme="minorHAnsi" w:cstheme="minorBidi"/>
              <w:noProof/>
            </w:rPr>
          </w:pPr>
          <w:hyperlink w:anchor="_Toc393283599" w:history="1">
            <w:r w:rsidR="00997FB0" w:rsidRPr="00CE4DDF">
              <w:rPr>
                <w:rStyle w:val="Hyperlink"/>
                <w:noProof/>
              </w:rPr>
              <w:t>5.2.</w:t>
            </w:r>
            <w:r w:rsidR="00997FB0">
              <w:rPr>
                <w:rFonts w:asciiTheme="minorHAnsi" w:eastAsiaTheme="minorEastAsia" w:hAnsiTheme="minorHAnsi" w:cstheme="minorBidi"/>
                <w:noProof/>
              </w:rPr>
              <w:tab/>
            </w:r>
            <w:r w:rsidR="00997FB0" w:rsidRPr="00CE4DDF">
              <w:rPr>
                <w:rStyle w:val="Hyperlink"/>
                <w:noProof/>
              </w:rPr>
              <w:t>Movements and quality of own funds of the banking system</w:t>
            </w:r>
            <w:r w:rsidR="00997FB0">
              <w:rPr>
                <w:noProof/>
                <w:webHidden/>
              </w:rPr>
              <w:tab/>
            </w:r>
            <w:r>
              <w:rPr>
                <w:noProof/>
                <w:webHidden/>
              </w:rPr>
              <w:fldChar w:fldCharType="begin"/>
            </w:r>
            <w:r w:rsidR="00997FB0">
              <w:rPr>
                <w:noProof/>
                <w:webHidden/>
              </w:rPr>
              <w:instrText xml:space="preserve"> PAGEREF _Toc393283599 \h </w:instrText>
            </w:r>
            <w:r>
              <w:rPr>
                <w:noProof/>
                <w:webHidden/>
              </w:rPr>
            </w:r>
            <w:r>
              <w:rPr>
                <w:noProof/>
                <w:webHidden/>
              </w:rPr>
              <w:fldChar w:fldCharType="separate"/>
            </w:r>
            <w:r w:rsidR="00997FB0">
              <w:rPr>
                <w:noProof/>
                <w:webHidden/>
              </w:rPr>
              <w:t>44</w:t>
            </w:r>
            <w:r>
              <w:rPr>
                <w:noProof/>
                <w:webHidden/>
              </w:rPr>
              <w:fldChar w:fldCharType="end"/>
            </w:r>
          </w:hyperlink>
        </w:p>
        <w:p w:rsidR="00997FB0" w:rsidRDefault="00803610">
          <w:pPr>
            <w:pStyle w:val="TOC3"/>
            <w:rPr>
              <w:rFonts w:asciiTheme="minorHAnsi" w:eastAsiaTheme="minorEastAsia" w:hAnsiTheme="minorHAnsi" w:cstheme="minorBidi"/>
              <w:noProof/>
            </w:rPr>
          </w:pPr>
          <w:hyperlink w:anchor="_Toc393283600" w:history="1">
            <w:r w:rsidR="00997FB0" w:rsidRPr="00CE4DDF">
              <w:rPr>
                <w:rStyle w:val="Hyperlink"/>
                <w:noProof/>
              </w:rPr>
              <w:t>5.3.</w:t>
            </w:r>
            <w:r w:rsidR="00997FB0">
              <w:rPr>
                <w:rFonts w:asciiTheme="minorHAnsi" w:eastAsiaTheme="minorEastAsia" w:hAnsiTheme="minorHAnsi" w:cstheme="minorBidi"/>
                <w:noProof/>
              </w:rPr>
              <w:tab/>
            </w:r>
            <w:r w:rsidR="00997FB0" w:rsidRPr="00CE4DDF">
              <w:rPr>
                <w:rStyle w:val="Hyperlink"/>
                <w:noProof/>
              </w:rPr>
              <w:t>Movements and structure of capital requirements and the available capital of the banking system</w:t>
            </w:r>
            <w:r w:rsidR="00997FB0">
              <w:rPr>
                <w:noProof/>
                <w:webHidden/>
              </w:rPr>
              <w:tab/>
            </w:r>
            <w:r>
              <w:rPr>
                <w:noProof/>
                <w:webHidden/>
              </w:rPr>
              <w:fldChar w:fldCharType="begin"/>
            </w:r>
            <w:r w:rsidR="00997FB0">
              <w:rPr>
                <w:noProof/>
                <w:webHidden/>
              </w:rPr>
              <w:instrText xml:space="preserve"> PAGEREF _Toc393283600 \h </w:instrText>
            </w:r>
            <w:r>
              <w:rPr>
                <w:noProof/>
                <w:webHidden/>
              </w:rPr>
            </w:r>
            <w:r>
              <w:rPr>
                <w:noProof/>
                <w:webHidden/>
              </w:rPr>
              <w:fldChar w:fldCharType="separate"/>
            </w:r>
            <w:r w:rsidR="00997FB0">
              <w:rPr>
                <w:noProof/>
                <w:webHidden/>
              </w:rPr>
              <w:t>47</w:t>
            </w:r>
            <w:r>
              <w:rPr>
                <w:noProof/>
                <w:webHidden/>
              </w:rPr>
              <w:fldChar w:fldCharType="end"/>
            </w:r>
          </w:hyperlink>
        </w:p>
        <w:p w:rsidR="00997FB0" w:rsidRDefault="00803610">
          <w:pPr>
            <w:pStyle w:val="TOC3"/>
            <w:rPr>
              <w:rFonts w:asciiTheme="minorHAnsi" w:eastAsiaTheme="minorEastAsia" w:hAnsiTheme="minorHAnsi" w:cstheme="minorBidi"/>
              <w:noProof/>
            </w:rPr>
          </w:pPr>
          <w:hyperlink w:anchor="_Toc393283601" w:history="1">
            <w:r w:rsidR="00997FB0" w:rsidRPr="00CE4DDF">
              <w:rPr>
                <w:rStyle w:val="Hyperlink"/>
                <w:noProof/>
              </w:rPr>
              <w:t>5.4.</w:t>
            </w:r>
            <w:r w:rsidR="00997FB0">
              <w:rPr>
                <w:rFonts w:asciiTheme="minorHAnsi" w:eastAsiaTheme="minorEastAsia" w:hAnsiTheme="minorHAnsi" w:cstheme="minorBidi"/>
                <w:noProof/>
              </w:rPr>
              <w:tab/>
            </w:r>
            <w:r w:rsidR="00997FB0" w:rsidRPr="00CE4DDF">
              <w:rPr>
                <w:rStyle w:val="Hyperlink"/>
                <w:noProof/>
              </w:rPr>
              <w:t>Stress testing of the resilience of the banking system to hypothetical shocks</w:t>
            </w:r>
            <w:r w:rsidR="00997FB0">
              <w:rPr>
                <w:noProof/>
                <w:webHidden/>
              </w:rPr>
              <w:tab/>
            </w:r>
            <w:r>
              <w:rPr>
                <w:noProof/>
                <w:webHidden/>
              </w:rPr>
              <w:fldChar w:fldCharType="begin"/>
            </w:r>
            <w:r w:rsidR="00997FB0">
              <w:rPr>
                <w:noProof/>
                <w:webHidden/>
              </w:rPr>
              <w:instrText xml:space="preserve"> PAGEREF _Toc393283601 \h </w:instrText>
            </w:r>
            <w:r>
              <w:rPr>
                <w:noProof/>
                <w:webHidden/>
              </w:rPr>
            </w:r>
            <w:r>
              <w:rPr>
                <w:noProof/>
                <w:webHidden/>
              </w:rPr>
              <w:fldChar w:fldCharType="separate"/>
            </w:r>
            <w:r w:rsidR="00997FB0">
              <w:rPr>
                <w:noProof/>
                <w:webHidden/>
              </w:rPr>
              <w:t>49</w:t>
            </w:r>
            <w:r>
              <w:rPr>
                <w:noProof/>
                <w:webHidden/>
              </w:rPr>
              <w:fldChar w:fldCharType="end"/>
            </w:r>
          </w:hyperlink>
        </w:p>
        <w:p w:rsidR="00997FB0" w:rsidRDefault="00803610">
          <w:pPr>
            <w:pStyle w:val="TOC1"/>
            <w:rPr>
              <w:rFonts w:asciiTheme="minorHAnsi" w:hAnsiTheme="minorHAnsi" w:cstheme="minorBidi"/>
              <w:b w:val="0"/>
            </w:rPr>
          </w:pPr>
          <w:hyperlink w:anchor="_Toc393283602" w:history="1">
            <w:r w:rsidR="00997FB0" w:rsidRPr="00CE4DDF">
              <w:rPr>
                <w:rStyle w:val="Hyperlink"/>
              </w:rPr>
              <w:t>Part 2</w:t>
            </w:r>
            <w:r w:rsidR="00997FB0">
              <w:rPr>
                <w:rStyle w:val="Hyperlink"/>
              </w:rPr>
              <w:t xml:space="preserve"> </w:t>
            </w:r>
            <w:r w:rsidR="00997FB0" w:rsidRPr="00CE4DDF">
              <w:rPr>
                <w:rStyle w:val="Hyperlink"/>
              </w:rPr>
              <w:t>Structural features, significant balance sheet changes and efficiency and profitability of the banking system in 2013</w:t>
            </w:r>
            <w:r w:rsidR="00997FB0">
              <w:rPr>
                <w:webHidden/>
              </w:rPr>
              <w:tab/>
            </w:r>
            <w:r>
              <w:rPr>
                <w:webHidden/>
              </w:rPr>
              <w:fldChar w:fldCharType="begin"/>
            </w:r>
            <w:r w:rsidR="00997FB0">
              <w:rPr>
                <w:webHidden/>
              </w:rPr>
              <w:instrText xml:space="preserve"> PAGEREF _Toc393283602 \h </w:instrText>
            </w:r>
            <w:r>
              <w:rPr>
                <w:webHidden/>
              </w:rPr>
            </w:r>
            <w:r>
              <w:rPr>
                <w:webHidden/>
              </w:rPr>
              <w:fldChar w:fldCharType="separate"/>
            </w:r>
            <w:r w:rsidR="00997FB0">
              <w:rPr>
                <w:webHidden/>
              </w:rPr>
              <w:t>50</w:t>
            </w:r>
            <w:r>
              <w:rPr>
                <w:webHidden/>
              </w:rPr>
              <w:fldChar w:fldCharType="end"/>
            </w:r>
          </w:hyperlink>
        </w:p>
        <w:p w:rsidR="00997FB0" w:rsidRDefault="00803610">
          <w:pPr>
            <w:pStyle w:val="TOC1"/>
            <w:rPr>
              <w:rFonts w:asciiTheme="minorHAnsi" w:hAnsiTheme="minorHAnsi" w:cstheme="minorBidi"/>
              <w:b w:val="0"/>
            </w:rPr>
          </w:pPr>
          <w:hyperlink w:anchor="_Toc393283603" w:history="1">
            <w:r w:rsidR="00997FB0" w:rsidRPr="00CE4DDF">
              <w:rPr>
                <w:rStyle w:val="Hyperlink"/>
              </w:rPr>
              <w:t>II.</w:t>
            </w:r>
            <w:r w:rsidR="00997FB0">
              <w:rPr>
                <w:rFonts w:asciiTheme="minorHAnsi" w:hAnsiTheme="minorHAnsi" w:cstheme="minorBidi"/>
                <w:b w:val="0"/>
              </w:rPr>
              <w:tab/>
            </w:r>
            <w:r w:rsidR="00997FB0" w:rsidRPr="00CE4DDF">
              <w:rPr>
                <w:rStyle w:val="Hyperlink"/>
              </w:rPr>
              <w:t>Structure of the banking system</w:t>
            </w:r>
            <w:r w:rsidR="00997FB0">
              <w:rPr>
                <w:webHidden/>
              </w:rPr>
              <w:tab/>
            </w:r>
            <w:r>
              <w:rPr>
                <w:webHidden/>
              </w:rPr>
              <w:fldChar w:fldCharType="begin"/>
            </w:r>
            <w:r w:rsidR="00997FB0">
              <w:rPr>
                <w:webHidden/>
              </w:rPr>
              <w:instrText xml:space="preserve"> PAGEREF _Toc393283603 \h </w:instrText>
            </w:r>
            <w:r>
              <w:rPr>
                <w:webHidden/>
              </w:rPr>
            </w:r>
            <w:r>
              <w:rPr>
                <w:webHidden/>
              </w:rPr>
              <w:fldChar w:fldCharType="separate"/>
            </w:r>
            <w:r w:rsidR="00997FB0">
              <w:rPr>
                <w:webHidden/>
              </w:rPr>
              <w:t>51</w:t>
            </w:r>
            <w:r>
              <w:rPr>
                <w:webHidden/>
              </w:rPr>
              <w:fldChar w:fldCharType="end"/>
            </w:r>
          </w:hyperlink>
        </w:p>
        <w:p w:rsidR="00997FB0" w:rsidRDefault="00803610">
          <w:pPr>
            <w:pStyle w:val="TOC2"/>
            <w:rPr>
              <w:rFonts w:asciiTheme="minorHAnsi" w:eastAsiaTheme="minorEastAsia" w:hAnsiTheme="minorHAnsi" w:cstheme="minorBidi"/>
              <w:b w:val="0"/>
              <w:noProof/>
            </w:rPr>
          </w:pPr>
          <w:hyperlink w:anchor="_Toc393283604" w:history="1">
            <w:r w:rsidR="00997FB0" w:rsidRPr="00CE4DDF">
              <w:rPr>
                <w:rStyle w:val="Hyperlink"/>
                <w:noProof/>
              </w:rPr>
              <w:t>1.</w:t>
            </w:r>
            <w:r w:rsidR="00997FB0">
              <w:rPr>
                <w:rFonts w:asciiTheme="minorHAnsi" w:eastAsiaTheme="minorEastAsia" w:hAnsiTheme="minorHAnsi" w:cstheme="minorBidi"/>
                <w:b w:val="0"/>
                <w:noProof/>
              </w:rPr>
              <w:tab/>
            </w:r>
            <w:r w:rsidR="00997FB0" w:rsidRPr="00CE4DDF">
              <w:rPr>
                <w:rStyle w:val="Hyperlink"/>
                <w:noProof/>
              </w:rPr>
              <w:t>Access to banking services</w:t>
            </w:r>
            <w:r w:rsidR="00997FB0">
              <w:rPr>
                <w:noProof/>
                <w:webHidden/>
              </w:rPr>
              <w:tab/>
            </w:r>
            <w:r>
              <w:rPr>
                <w:noProof/>
                <w:webHidden/>
              </w:rPr>
              <w:fldChar w:fldCharType="begin"/>
            </w:r>
            <w:r w:rsidR="00997FB0">
              <w:rPr>
                <w:noProof/>
                <w:webHidden/>
              </w:rPr>
              <w:instrText xml:space="preserve"> PAGEREF _Toc393283604 \h </w:instrText>
            </w:r>
            <w:r>
              <w:rPr>
                <w:noProof/>
                <w:webHidden/>
              </w:rPr>
            </w:r>
            <w:r>
              <w:rPr>
                <w:noProof/>
                <w:webHidden/>
              </w:rPr>
              <w:fldChar w:fldCharType="separate"/>
            </w:r>
            <w:r w:rsidR="00997FB0">
              <w:rPr>
                <w:noProof/>
                <w:webHidden/>
              </w:rPr>
              <w:t>51</w:t>
            </w:r>
            <w:r>
              <w:rPr>
                <w:noProof/>
                <w:webHidden/>
              </w:rPr>
              <w:fldChar w:fldCharType="end"/>
            </w:r>
          </w:hyperlink>
        </w:p>
        <w:p w:rsidR="00997FB0" w:rsidRDefault="00803610">
          <w:pPr>
            <w:pStyle w:val="TOC2"/>
            <w:rPr>
              <w:rFonts w:asciiTheme="minorHAnsi" w:eastAsiaTheme="minorEastAsia" w:hAnsiTheme="minorHAnsi" w:cstheme="minorBidi"/>
              <w:b w:val="0"/>
              <w:noProof/>
            </w:rPr>
          </w:pPr>
          <w:hyperlink w:anchor="_Toc393283605" w:history="1">
            <w:r w:rsidR="00997FB0" w:rsidRPr="00CE4DDF">
              <w:rPr>
                <w:rStyle w:val="Hyperlink"/>
                <w:noProof/>
              </w:rPr>
              <w:t>2.</w:t>
            </w:r>
            <w:r w:rsidR="00997FB0">
              <w:rPr>
                <w:rFonts w:asciiTheme="minorHAnsi" w:eastAsiaTheme="minorEastAsia" w:hAnsiTheme="minorHAnsi" w:cstheme="minorBidi"/>
                <w:b w:val="0"/>
                <w:noProof/>
              </w:rPr>
              <w:tab/>
            </w:r>
            <w:r w:rsidR="00997FB0" w:rsidRPr="00CE4DDF">
              <w:rPr>
                <w:rStyle w:val="Hyperlink"/>
                <w:noProof/>
              </w:rPr>
              <w:t>Employment in the banking system</w:t>
            </w:r>
            <w:r w:rsidR="00997FB0">
              <w:rPr>
                <w:noProof/>
                <w:webHidden/>
              </w:rPr>
              <w:tab/>
            </w:r>
            <w:r>
              <w:rPr>
                <w:noProof/>
                <w:webHidden/>
              </w:rPr>
              <w:fldChar w:fldCharType="begin"/>
            </w:r>
            <w:r w:rsidR="00997FB0">
              <w:rPr>
                <w:noProof/>
                <w:webHidden/>
              </w:rPr>
              <w:instrText xml:space="preserve"> PAGEREF _Toc393283605 \h </w:instrText>
            </w:r>
            <w:r>
              <w:rPr>
                <w:noProof/>
                <w:webHidden/>
              </w:rPr>
            </w:r>
            <w:r>
              <w:rPr>
                <w:noProof/>
                <w:webHidden/>
              </w:rPr>
              <w:fldChar w:fldCharType="separate"/>
            </w:r>
            <w:r w:rsidR="00997FB0">
              <w:rPr>
                <w:noProof/>
                <w:webHidden/>
              </w:rPr>
              <w:t>53</w:t>
            </w:r>
            <w:r>
              <w:rPr>
                <w:noProof/>
                <w:webHidden/>
              </w:rPr>
              <w:fldChar w:fldCharType="end"/>
            </w:r>
          </w:hyperlink>
        </w:p>
        <w:p w:rsidR="00997FB0" w:rsidRDefault="00803610">
          <w:pPr>
            <w:pStyle w:val="TOC2"/>
            <w:rPr>
              <w:rFonts w:asciiTheme="minorHAnsi" w:eastAsiaTheme="minorEastAsia" w:hAnsiTheme="minorHAnsi" w:cstheme="minorBidi"/>
              <w:b w:val="0"/>
              <w:noProof/>
            </w:rPr>
          </w:pPr>
          <w:hyperlink w:anchor="_Toc393283606" w:history="1">
            <w:r w:rsidR="00997FB0" w:rsidRPr="00CE4DDF">
              <w:rPr>
                <w:rStyle w:val="Hyperlink"/>
                <w:noProof/>
              </w:rPr>
              <w:t>3.</w:t>
            </w:r>
            <w:r w:rsidR="00997FB0">
              <w:rPr>
                <w:rFonts w:asciiTheme="minorHAnsi" w:eastAsiaTheme="minorEastAsia" w:hAnsiTheme="minorHAnsi" w:cstheme="minorBidi"/>
                <w:b w:val="0"/>
                <w:noProof/>
              </w:rPr>
              <w:tab/>
            </w:r>
            <w:r w:rsidR="00997FB0" w:rsidRPr="00CE4DDF">
              <w:rPr>
                <w:rStyle w:val="Hyperlink"/>
                <w:noProof/>
              </w:rPr>
              <w:t>Ownership structure of the banking system</w:t>
            </w:r>
            <w:r w:rsidR="00997FB0">
              <w:rPr>
                <w:noProof/>
                <w:webHidden/>
              </w:rPr>
              <w:tab/>
            </w:r>
            <w:r>
              <w:rPr>
                <w:noProof/>
                <w:webHidden/>
              </w:rPr>
              <w:fldChar w:fldCharType="begin"/>
            </w:r>
            <w:r w:rsidR="00997FB0">
              <w:rPr>
                <w:noProof/>
                <w:webHidden/>
              </w:rPr>
              <w:instrText xml:space="preserve"> PAGEREF _Toc393283606 \h </w:instrText>
            </w:r>
            <w:r>
              <w:rPr>
                <w:noProof/>
                <w:webHidden/>
              </w:rPr>
            </w:r>
            <w:r>
              <w:rPr>
                <w:noProof/>
                <w:webHidden/>
              </w:rPr>
              <w:fldChar w:fldCharType="separate"/>
            </w:r>
            <w:r w:rsidR="00997FB0">
              <w:rPr>
                <w:noProof/>
                <w:webHidden/>
              </w:rPr>
              <w:t>54</w:t>
            </w:r>
            <w:r>
              <w:rPr>
                <w:noProof/>
                <w:webHidden/>
              </w:rPr>
              <w:fldChar w:fldCharType="end"/>
            </w:r>
          </w:hyperlink>
        </w:p>
        <w:p w:rsidR="00997FB0" w:rsidRDefault="00803610">
          <w:pPr>
            <w:pStyle w:val="TOC1"/>
            <w:rPr>
              <w:rFonts w:asciiTheme="minorHAnsi" w:hAnsiTheme="minorHAnsi" w:cstheme="minorBidi"/>
              <w:b w:val="0"/>
            </w:rPr>
          </w:pPr>
          <w:hyperlink w:anchor="_Toc393283607" w:history="1">
            <w:r w:rsidR="00997FB0" w:rsidRPr="00CE4DDF">
              <w:rPr>
                <w:rStyle w:val="Hyperlink"/>
              </w:rPr>
              <w:t>III.</w:t>
            </w:r>
            <w:r w:rsidR="00997FB0">
              <w:rPr>
                <w:rFonts w:asciiTheme="minorHAnsi" w:hAnsiTheme="minorHAnsi" w:cstheme="minorBidi"/>
                <w:b w:val="0"/>
              </w:rPr>
              <w:tab/>
            </w:r>
            <w:r w:rsidR="00997FB0" w:rsidRPr="00CE4DDF">
              <w:rPr>
                <w:rStyle w:val="Hyperlink"/>
              </w:rPr>
              <w:t>Bank activities</w:t>
            </w:r>
            <w:r w:rsidR="00997FB0">
              <w:rPr>
                <w:webHidden/>
              </w:rPr>
              <w:tab/>
            </w:r>
            <w:r>
              <w:rPr>
                <w:webHidden/>
              </w:rPr>
              <w:fldChar w:fldCharType="begin"/>
            </w:r>
            <w:r w:rsidR="00997FB0">
              <w:rPr>
                <w:webHidden/>
              </w:rPr>
              <w:instrText xml:space="preserve"> PAGEREF _Toc393283607 \h </w:instrText>
            </w:r>
            <w:r>
              <w:rPr>
                <w:webHidden/>
              </w:rPr>
            </w:r>
            <w:r>
              <w:rPr>
                <w:webHidden/>
              </w:rPr>
              <w:fldChar w:fldCharType="separate"/>
            </w:r>
            <w:r w:rsidR="00997FB0">
              <w:rPr>
                <w:webHidden/>
              </w:rPr>
              <w:t>58</w:t>
            </w:r>
            <w:r>
              <w:rPr>
                <w:webHidden/>
              </w:rPr>
              <w:fldChar w:fldCharType="end"/>
            </w:r>
          </w:hyperlink>
        </w:p>
        <w:p w:rsidR="00997FB0" w:rsidRDefault="00803610">
          <w:pPr>
            <w:pStyle w:val="TOC2"/>
            <w:rPr>
              <w:rFonts w:asciiTheme="minorHAnsi" w:eastAsiaTheme="minorEastAsia" w:hAnsiTheme="minorHAnsi" w:cstheme="minorBidi"/>
              <w:b w:val="0"/>
              <w:noProof/>
            </w:rPr>
          </w:pPr>
          <w:hyperlink w:anchor="_Toc393283608" w:history="1">
            <w:r w:rsidR="00997FB0" w:rsidRPr="00CE4DDF">
              <w:rPr>
                <w:rStyle w:val="Hyperlink"/>
                <w:noProof/>
              </w:rPr>
              <w:t>1.</w:t>
            </w:r>
            <w:r w:rsidR="00997FB0">
              <w:rPr>
                <w:rFonts w:asciiTheme="minorHAnsi" w:eastAsiaTheme="minorEastAsia" w:hAnsiTheme="minorHAnsi" w:cstheme="minorBidi"/>
                <w:b w:val="0"/>
                <w:noProof/>
              </w:rPr>
              <w:tab/>
            </w:r>
            <w:r w:rsidR="00997FB0" w:rsidRPr="00CE4DDF">
              <w:rPr>
                <w:rStyle w:val="Hyperlink"/>
                <w:noProof/>
              </w:rPr>
              <w:t>Loans to non-financial entities</w:t>
            </w:r>
            <w:r w:rsidR="00997FB0">
              <w:rPr>
                <w:noProof/>
                <w:webHidden/>
              </w:rPr>
              <w:tab/>
            </w:r>
            <w:r>
              <w:rPr>
                <w:noProof/>
                <w:webHidden/>
              </w:rPr>
              <w:fldChar w:fldCharType="begin"/>
            </w:r>
            <w:r w:rsidR="00997FB0">
              <w:rPr>
                <w:noProof/>
                <w:webHidden/>
              </w:rPr>
              <w:instrText xml:space="preserve"> PAGEREF _Toc393283608 \h </w:instrText>
            </w:r>
            <w:r>
              <w:rPr>
                <w:noProof/>
                <w:webHidden/>
              </w:rPr>
            </w:r>
            <w:r>
              <w:rPr>
                <w:noProof/>
                <w:webHidden/>
              </w:rPr>
              <w:fldChar w:fldCharType="separate"/>
            </w:r>
            <w:r w:rsidR="00997FB0">
              <w:rPr>
                <w:noProof/>
                <w:webHidden/>
              </w:rPr>
              <w:t>62</w:t>
            </w:r>
            <w:r>
              <w:rPr>
                <w:noProof/>
                <w:webHidden/>
              </w:rPr>
              <w:fldChar w:fldCharType="end"/>
            </w:r>
          </w:hyperlink>
        </w:p>
        <w:p w:rsidR="00997FB0" w:rsidRDefault="00803610">
          <w:pPr>
            <w:pStyle w:val="TOC2"/>
            <w:rPr>
              <w:rFonts w:asciiTheme="minorHAnsi" w:eastAsiaTheme="minorEastAsia" w:hAnsiTheme="minorHAnsi" w:cstheme="minorBidi"/>
              <w:b w:val="0"/>
              <w:noProof/>
            </w:rPr>
          </w:pPr>
          <w:hyperlink w:anchor="_Toc393283609" w:history="1">
            <w:r w:rsidR="00997FB0" w:rsidRPr="00CE4DDF">
              <w:rPr>
                <w:rStyle w:val="Hyperlink"/>
                <w:noProof/>
              </w:rPr>
              <w:t>2.</w:t>
            </w:r>
            <w:r w:rsidR="00997FB0">
              <w:rPr>
                <w:rFonts w:asciiTheme="minorHAnsi" w:eastAsiaTheme="minorEastAsia" w:hAnsiTheme="minorHAnsi" w:cstheme="minorBidi"/>
                <w:b w:val="0"/>
                <w:noProof/>
              </w:rPr>
              <w:tab/>
            </w:r>
            <w:r w:rsidR="00997FB0" w:rsidRPr="00CE4DDF">
              <w:rPr>
                <w:rStyle w:val="Hyperlink"/>
                <w:noProof/>
              </w:rPr>
              <w:t>Deposits of non-financial entities</w:t>
            </w:r>
            <w:r w:rsidR="00997FB0">
              <w:rPr>
                <w:noProof/>
                <w:webHidden/>
              </w:rPr>
              <w:tab/>
            </w:r>
            <w:r>
              <w:rPr>
                <w:noProof/>
                <w:webHidden/>
              </w:rPr>
              <w:fldChar w:fldCharType="begin"/>
            </w:r>
            <w:r w:rsidR="00997FB0">
              <w:rPr>
                <w:noProof/>
                <w:webHidden/>
              </w:rPr>
              <w:instrText xml:space="preserve"> PAGEREF _Toc393283609 \h </w:instrText>
            </w:r>
            <w:r>
              <w:rPr>
                <w:noProof/>
                <w:webHidden/>
              </w:rPr>
            </w:r>
            <w:r>
              <w:rPr>
                <w:noProof/>
                <w:webHidden/>
              </w:rPr>
              <w:fldChar w:fldCharType="separate"/>
            </w:r>
            <w:r w:rsidR="00997FB0">
              <w:rPr>
                <w:noProof/>
                <w:webHidden/>
              </w:rPr>
              <w:t>65</w:t>
            </w:r>
            <w:r>
              <w:rPr>
                <w:noProof/>
                <w:webHidden/>
              </w:rPr>
              <w:fldChar w:fldCharType="end"/>
            </w:r>
          </w:hyperlink>
        </w:p>
        <w:p w:rsidR="00997FB0" w:rsidRDefault="00803610">
          <w:pPr>
            <w:pStyle w:val="TOC2"/>
            <w:rPr>
              <w:rFonts w:asciiTheme="minorHAnsi" w:eastAsiaTheme="minorEastAsia" w:hAnsiTheme="minorHAnsi" w:cstheme="minorBidi"/>
              <w:b w:val="0"/>
              <w:noProof/>
            </w:rPr>
          </w:pPr>
          <w:hyperlink w:anchor="_Toc393283610" w:history="1">
            <w:r w:rsidR="00997FB0" w:rsidRPr="00CE4DDF">
              <w:rPr>
                <w:rStyle w:val="Hyperlink"/>
                <w:noProof/>
              </w:rPr>
              <w:t>3.</w:t>
            </w:r>
            <w:r w:rsidR="00997FB0">
              <w:rPr>
                <w:rFonts w:asciiTheme="minorHAnsi" w:eastAsiaTheme="minorEastAsia" w:hAnsiTheme="minorHAnsi" w:cstheme="minorBidi"/>
                <w:b w:val="0"/>
                <w:noProof/>
              </w:rPr>
              <w:tab/>
            </w:r>
            <w:r w:rsidR="00997FB0" w:rsidRPr="00CE4DDF">
              <w:rPr>
                <w:rStyle w:val="Hyperlink"/>
                <w:noProof/>
              </w:rPr>
              <w:t>Foreclosures</w:t>
            </w:r>
            <w:r w:rsidR="00997FB0">
              <w:rPr>
                <w:noProof/>
                <w:webHidden/>
              </w:rPr>
              <w:tab/>
            </w:r>
            <w:r>
              <w:rPr>
                <w:noProof/>
                <w:webHidden/>
              </w:rPr>
              <w:fldChar w:fldCharType="begin"/>
            </w:r>
            <w:r w:rsidR="00997FB0">
              <w:rPr>
                <w:noProof/>
                <w:webHidden/>
              </w:rPr>
              <w:instrText xml:space="preserve"> PAGEREF _Toc393283610 \h </w:instrText>
            </w:r>
            <w:r>
              <w:rPr>
                <w:noProof/>
                <w:webHidden/>
              </w:rPr>
            </w:r>
            <w:r>
              <w:rPr>
                <w:noProof/>
                <w:webHidden/>
              </w:rPr>
              <w:fldChar w:fldCharType="separate"/>
            </w:r>
            <w:r w:rsidR="00997FB0">
              <w:rPr>
                <w:noProof/>
                <w:webHidden/>
              </w:rPr>
              <w:t>67</w:t>
            </w:r>
            <w:r>
              <w:rPr>
                <w:noProof/>
                <w:webHidden/>
              </w:rPr>
              <w:fldChar w:fldCharType="end"/>
            </w:r>
          </w:hyperlink>
        </w:p>
        <w:p w:rsidR="00997FB0" w:rsidRDefault="00803610">
          <w:pPr>
            <w:pStyle w:val="TOC2"/>
            <w:rPr>
              <w:rFonts w:asciiTheme="minorHAnsi" w:eastAsiaTheme="minorEastAsia" w:hAnsiTheme="minorHAnsi" w:cstheme="minorBidi"/>
              <w:b w:val="0"/>
              <w:noProof/>
            </w:rPr>
          </w:pPr>
          <w:hyperlink w:anchor="_Toc393283611" w:history="1">
            <w:r w:rsidR="00997FB0" w:rsidRPr="00CE4DDF">
              <w:rPr>
                <w:rStyle w:val="Hyperlink"/>
                <w:noProof/>
              </w:rPr>
              <w:t>4.</w:t>
            </w:r>
            <w:r w:rsidR="00997FB0">
              <w:rPr>
                <w:rFonts w:asciiTheme="minorHAnsi" w:eastAsiaTheme="minorEastAsia" w:hAnsiTheme="minorHAnsi" w:cstheme="minorBidi"/>
                <w:b w:val="0"/>
                <w:noProof/>
              </w:rPr>
              <w:tab/>
            </w:r>
            <w:r w:rsidR="00997FB0" w:rsidRPr="00CE4DDF">
              <w:rPr>
                <w:rStyle w:val="Hyperlink"/>
                <w:noProof/>
              </w:rPr>
              <w:t>Profitability</w:t>
            </w:r>
            <w:r w:rsidR="00997FB0">
              <w:rPr>
                <w:noProof/>
                <w:webHidden/>
              </w:rPr>
              <w:tab/>
            </w:r>
            <w:r>
              <w:rPr>
                <w:noProof/>
                <w:webHidden/>
              </w:rPr>
              <w:fldChar w:fldCharType="begin"/>
            </w:r>
            <w:r w:rsidR="00997FB0">
              <w:rPr>
                <w:noProof/>
                <w:webHidden/>
              </w:rPr>
              <w:instrText xml:space="preserve"> PAGEREF _Toc393283611 \h </w:instrText>
            </w:r>
            <w:r>
              <w:rPr>
                <w:noProof/>
                <w:webHidden/>
              </w:rPr>
            </w:r>
            <w:r>
              <w:rPr>
                <w:noProof/>
                <w:webHidden/>
              </w:rPr>
              <w:fldChar w:fldCharType="separate"/>
            </w:r>
            <w:r w:rsidR="00997FB0">
              <w:rPr>
                <w:noProof/>
                <w:webHidden/>
              </w:rPr>
              <w:t>72</w:t>
            </w:r>
            <w:r>
              <w:rPr>
                <w:noProof/>
                <w:webHidden/>
              </w:rPr>
              <w:fldChar w:fldCharType="end"/>
            </w:r>
          </w:hyperlink>
        </w:p>
        <w:p w:rsidR="00997FB0" w:rsidRDefault="00803610">
          <w:pPr>
            <w:pStyle w:val="TOC3"/>
            <w:rPr>
              <w:rFonts w:asciiTheme="minorHAnsi" w:eastAsiaTheme="minorEastAsia" w:hAnsiTheme="minorHAnsi" w:cstheme="minorBidi"/>
              <w:noProof/>
            </w:rPr>
          </w:pPr>
          <w:hyperlink w:anchor="_Toc393283612" w:history="1">
            <w:r w:rsidR="00997FB0" w:rsidRPr="00CE4DDF">
              <w:rPr>
                <w:rStyle w:val="Hyperlink"/>
                <w:noProof/>
              </w:rPr>
              <w:t>4.1.</w:t>
            </w:r>
            <w:r w:rsidR="00997FB0">
              <w:rPr>
                <w:rFonts w:asciiTheme="minorHAnsi" w:eastAsiaTheme="minorEastAsia" w:hAnsiTheme="minorHAnsi" w:cstheme="minorBidi"/>
                <w:noProof/>
              </w:rPr>
              <w:tab/>
            </w:r>
            <w:r w:rsidR="00997FB0" w:rsidRPr="00CE4DDF">
              <w:rPr>
                <w:rStyle w:val="Hyperlink"/>
                <w:noProof/>
              </w:rPr>
              <w:t>Movement and structure of income and expenses of the banking system and profitability and efficiency indicators</w:t>
            </w:r>
            <w:r w:rsidR="00997FB0">
              <w:rPr>
                <w:noProof/>
                <w:webHidden/>
              </w:rPr>
              <w:tab/>
            </w:r>
            <w:r>
              <w:rPr>
                <w:noProof/>
                <w:webHidden/>
              </w:rPr>
              <w:fldChar w:fldCharType="begin"/>
            </w:r>
            <w:r w:rsidR="00997FB0">
              <w:rPr>
                <w:noProof/>
                <w:webHidden/>
              </w:rPr>
              <w:instrText xml:space="preserve"> PAGEREF _Toc393283612 \h </w:instrText>
            </w:r>
            <w:r>
              <w:rPr>
                <w:noProof/>
                <w:webHidden/>
              </w:rPr>
            </w:r>
            <w:r>
              <w:rPr>
                <w:noProof/>
                <w:webHidden/>
              </w:rPr>
              <w:fldChar w:fldCharType="separate"/>
            </w:r>
            <w:r w:rsidR="00997FB0">
              <w:rPr>
                <w:noProof/>
                <w:webHidden/>
              </w:rPr>
              <w:t>72</w:t>
            </w:r>
            <w:r>
              <w:rPr>
                <w:noProof/>
                <w:webHidden/>
              </w:rPr>
              <w:fldChar w:fldCharType="end"/>
            </w:r>
          </w:hyperlink>
        </w:p>
        <w:p w:rsidR="00997FB0" w:rsidRDefault="00803610">
          <w:pPr>
            <w:pStyle w:val="TOC3"/>
            <w:rPr>
              <w:rFonts w:asciiTheme="minorHAnsi" w:eastAsiaTheme="minorEastAsia" w:hAnsiTheme="minorHAnsi" w:cstheme="minorBidi"/>
              <w:noProof/>
            </w:rPr>
          </w:pPr>
          <w:hyperlink w:anchor="_Toc393283613" w:history="1">
            <w:r w:rsidR="00997FB0" w:rsidRPr="00CE4DDF">
              <w:rPr>
                <w:rStyle w:val="Hyperlink"/>
                <w:noProof/>
              </w:rPr>
              <w:t>4.2.</w:t>
            </w:r>
            <w:r w:rsidR="00997FB0">
              <w:rPr>
                <w:rFonts w:asciiTheme="minorHAnsi" w:eastAsiaTheme="minorEastAsia" w:hAnsiTheme="minorHAnsi" w:cstheme="minorBidi"/>
                <w:noProof/>
              </w:rPr>
              <w:tab/>
            </w:r>
            <w:r w:rsidR="00997FB0" w:rsidRPr="00CE4DDF">
              <w:rPr>
                <w:rStyle w:val="Hyperlink"/>
                <w:noProof/>
              </w:rPr>
              <w:t>Movements in interest rates and the interest rate spread</w:t>
            </w:r>
            <w:r w:rsidR="00997FB0">
              <w:rPr>
                <w:noProof/>
                <w:webHidden/>
              </w:rPr>
              <w:tab/>
            </w:r>
            <w:r>
              <w:rPr>
                <w:noProof/>
                <w:webHidden/>
              </w:rPr>
              <w:fldChar w:fldCharType="begin"/>
            </w:r>
            <w:r w:rsidR="00997FB0">
              <w:rPr>
                <w:noProof/>
                <w:webHidden/>
              </w:rPr>
              <w:instrText xml:space="preserve"> PAGEREF _Toc393283613 \h </w:instrText>
            </w:r>
            <w:r>
              <w:rPr>
                <w:noProof/>
                <w:webHidden/>
              </w:rPr>
            </w:r>
            <w:r>
              <w:rPr>
                <w:noProof/>
                <w:webHidden/>
              </w:rPr>
              <w:fldChar w:fldCharType="separate"/>
            </w:r>
            <w:r w:rsidR="00997FB0">
              <w:rPr>
                <w:noProof/>
                <w:webHidden/>
              </w:rPr>
              <w:t>79</w:t>
            </w:r>
            <w:r>
              <w:rPr>
                <w:noProof/>
                <w:webHidden/>
              </w:rPr>
              <w:fldChar w:fldCharType="end"/>
            </w:r>
          </w:hyperlink>
        </w:p>
        <w:p w:rsidR="00997FB0" w:rsidRDefault="00803610">
          <w:pPr>
            <w:pStyle w:val="TOC1"/>
            <w:rPr>
              <w:rFonts w:asciiTheme="minorHAnsi" w:hAnsiTheme="minorHAnsi" w:cstheme="minorBidi"/>
              <w:b w:val="0"/>
            </w:rPr>
          </w:pPr>
          <w:hyperlink w:anchor="_Toc393283614" w:history="1">
            <w:r w:rsidR="00997FB0" w:rsidRPr="00CE4DDF">
              <w:rPr>
                <w:rStyle w:val="Hyperlink"/>
              </w:rPr>
              <w:t>ANNEX</w:t>
            </w:r>
            <w:r w:rsidR="00997FB0">
              <w:rPr>
                <w:webHidden/>
              </w:rPr>
              <w:tab/>
            </w:r>
            <w:r>
              <w:rPr>
                <w:webHidden/>
              </w:rPr>
              <w:fldChar w:fldCharType="begin"/>
            </w:r>
            <w:r w:rsidR="00997FB0">
              <w:rPr>
                <w:webHidden/>
              </w:rPr>
              <w:instrText xml:space="preserve"> PAGEREF _Toc393283614 \h </w:instrText>
            </w:r>
            <w:r>
              <w:rPr>
                <w:webHidden/>
              </w:rPr>
            </w:r>
            <w:r>
              <w:rPr>
                <w:webHidden/>
              </w:rPr>
              <w:fldChar w:fldCharType="separate"/>
            </w:r>
            <w:r w:rsidR="00997FB0">
              <w:rPr>
                <w:webHidden/>
              </w:rPr>
              <w:t>82</w:t>
            </w:r>
            <w:r>
              <w:rPr>
                <w:webHidden/>
              </w:rPr>
              <w:fldChar w:fldCharType="end"/>
            </w:r>
          </w:hyperlink>
        </w:p>
        <w:p w:rsidR="00EB6EEE" w:rsidRDefault="00803610">
          <w:r>
            <w:fldChar w:fldCharType="end"/>
          </w:r>
        </w:p>
      </w:sdtContent>
    </w:sdt>
    <w:p w:rsidR="00C515A4" w:rsidRPr="00C9350F" w:rsidRDefault="00C515A4" w:rsidP="00C515A4">
      <w:pPr>
        <w:jc w:val="left"/>
        <w:rPr>
          <w:rFonts w:cs="Tahoma"/>
        </w:rPr>
      </w:pPr>
      <w:bookmarkStart w:id="0" w:name="_Toc307562528"/>
    </w:p>
    <w:p w:rsidR="000F6794" w:rsidRPr="000F6794" w:rsidRDefault="00C515A4" w:rsidP="000F6794">
      <w:pPr>
        <w:pStyle w:val="Heading1"/>
        <w:numPr>
          <w:ilvl w:val="0"/>
          <w:numId w:val="0"/>
        </w:numPr>
        <w:ind w:left="-4536"/>
        <w:rPr>
          <w:i/>
          <w:sz w:val="22"/>
          <w:szCs w:val="22"/>
        </w:rPr>
      </w:pPr>
      <w:r w:rsidRPr="00C9350F">
        <w:br w:type="page"/>
      </w:r>
      <w:bookmarkStart w:id="1" w:name="_Toc393283584"/>
      <w:bookmarkEnd w:id="0"/>
      <w:r w:rsidR="000F6794" w:rsidRPr="000F6794">
        <w:rPr>
          <w:i/>
          <w:sz w:val="22"/>
          <w:szCs w:val="22"/>
        </w:rPr>
        <w:lastRenderedPageBreak/>
        <w:t>Summary</w:t>
      </w:r>
      <w:bookmarkEnd w:id="1"/>
    </w:p>
    <w:p w:rsidR="000F6794" w:rsidRPr="000F6794" w:rsidRDefault="000F6794" w:rsidP="000F6794">
      <w:pPr>
        <w:ind w:left="-4536"/>
        <w:rPr>
          <w:rFonts w:cs="Tahoma"/>
        </w:rPr>
      </w:pPr>
    </w:p>
    <w:p w:rsidR="000F6794" w:rsidRPr="000F6794" w:rsidRDefault="000F6794" w:rsidP="000F6794">
      <w:pPr>
        <w:ind w:left="-4536"/>
        <w:rPr>
          <w:rFonts w:cs="Tahoma"/>
        </w:rPr>
      </w:pPr>
      <w:r w:rsidRPr="000F6794">
        <w:rPr>
          <w:rFonts w:cs="Tahoma"/>
        </w:rPr>
        <w:t>The overall stability of the Macedonian banking system strengthened in 2013. This was also registered by the statistical measure for its monitoring (Z-index), which at the end of the year reached its historically highest level for the last seven years analyzed. The Z-index measures the bank’s "distance" from full depletion of its capital potential and is a measure of the banks’ capacity to absorb losses. Higher levels of this index point to lower risk level and higher level of overall stability of the banks.</w:t>
      </w:r>
    </w:p>
    <w:p w:rsidR="000F6794" w:rsidRPr="000F6794" w:rsidRDefault="000F6794" w:rsidP="000F6794">
      <w:pPr>
        <w:ind w:left="-4536"/>
        <w:rPr>
          <w:rFonts w:cs="Tahoma"/>
        </w:rPr>
      </w:pPr>
    </w:p>
    <w:p w:rsidR="000F6794" w:rsidRPr="000F6794" w:rsidRDefault="000F6794" w:rsidP="000F6794">
      <w:pPr>
        <w:ind w:left="-4536"/>
        <w:rPr>
          <w:rFonts w:cs="Tahoma"/>
        </w:rPr>
      </w:pPr>
      <w:r w:rsidRPr="000F6794">
        <w:rPr>
          <w:rFonts w:cs="Tahoma"/>
        </w:rPr>
        <w:t xml:space="preserve">The macroeconomic environment in which the Macedonian banking system operated during 2013, indicated a gradual recovery of the domestic economic activity, but also uncertainty regarding the pace of recovery of the global economy. This had a corresponding impact on the growth of the banks’ activities, especially the lending dynamics. Lending to the corporate sector, which slowed down in the last two years, accelerated in the last quarter of 2013. However, despite this movement, banks are still cautious when lending to the corporate sector, which comes as a result also of the conservative strategies of some major banking groups present in the Republic of Macedonia. The monetary measures of the National Bank, by which additional liquidity in the banking sector was provided, coupled with the macro-prudential measures with the same aim, also contributed to the revival of the domestic credit market, credit support to systemically important sectors and lending on a longer run.  </w:t>
      </w:r>
    </w:p>
    <w:p w:rsidR="000F6794" w:rsidRPr="000F6794" w:rsidRDefault="000F6794" w:rsidP="000F6794">
      <w:pPr>
        <w:ind w:left="-4536"/>
        <w:rPr>
          <w:rFonts w:cs="Tahoma"/>
        </w:rPr>
      </w:pPr>
    </w:p>
    <w:p w:rsidR="000F6794" w:rsidRPr="000F6794" w:rsidRDefault="000F6794" w:rsidP="000F6794">
      <w:pPr>
        <w:ind w:left="-4536"/>
        <w:rPr>
          <w:rFonts w:cs="Tahoma"/>
        </w:rPr>
      </w:pPr>
      <w:r w:rsidRPr="000F6794">
        <w:rPr>
          <w:rFonts w:cs="Tahoma"/>
        </w:rPr>
        <w:t>Regarding the quality of the banks’ loan portfolio, divergent movements were registered during the year, which correspond to the economic changes in the country, the global environment and the banks’ perceptions of risk. The effects of the prolonged crisis further shape the loan portfolio quality by fast growth of non-performing loans to the corporate sector in the first six months of the year, which caused the overall rate of non-performing loans to reach its highest value of 12.4%, in July 2013. In the second half of the year, driven by the trend of reviving of the domestic economy and collection of non-performing claims, some banks took concerted effort to restructure the claims on those clients for which they estimated that an adjustment of the credit conditions to their current financial difficulties will be required. These activities of banks can be further encouraged by the new regulation of the National Bank for credit risk management, which encourages banks to perform timely restructuring of the claims, rather than “waiting” for them to get a non-performing status. However, these developments should be carefully analyzed, given that the restructuring will yield results in the medium or long run, but only if made in a timely manner and if the reduction of the credit burden really helps customers to overcome the current financial difficulties. All these activities, together with the higher lending activity of banks to the corporate sector, contributed the rate of non-performing loans at the end of 2013 to be on the lowest level annually (except in January) and equal 11.5%.</w:t>
      </w:r>
    </w:p>
    <w:p w:rsidR="000F6794" w:rsidRPr="000F6794" w:rsidRDefault="000F6794" w:rsidP="000F6794">
      <w:pPr>
        <w:ind w:left="-4536"/>
        <w:rPr>
          <w:rFonts w:cs="Tahoma"/>
        </w:rPr>
      </w:pPr>
    </w:p>
    <w:p w:rsidR="000F6794" w:rsidRPr="000F6794" w:rsidRDefault="000F6794" w:rsidP="000F6794">
      <w:pPr>
        <w:ind w:left="-4536"/>
        <w:rPr>
          <w:rFonts w:cs="Tahoma"/>
        </w:rPr>
      </w:pPr>
      <w:r w:rsidRPr="000F6794">
        <w:rPr>
          <w:rFonts w:cs="Tahoma"/>
        </w:rPr>
        <w:t>Stable and high liquidity is one of the main pillars of the banking system. In 2013, liquid assets continued to grow, but at somewhat slower pace, mainly due to the gradual acceleration of the lending activity in the second half of 2013, but also due to the increased banks' investments in long-term government securities (which, given their long maturity, are not included in the liquid assets). However, they still cover almost 60% of household deposits with banks.</w:t>
      </w:r>
    </w:p>
    <w:p w:rsidR="000F6794" w:rsidRPr="000F6794" w:rsidRDefault="000F6794" w:rsidP="000F6794">
      <w:pPr>
        <w:ind w:left="-4536"/>
        <w:rPr>
          <w:rFonts w:cs="Tahoma"/>
        </w:rPr>
      </w:pPr>
    </w:p>
    <w:p w:rsidR="000F6794" w:rsidRPr="000F6794" w:rsidRDefault="000F6794" w:rsidP="000F6794">
      <w:pPr>
        <w:ind w:left="-4536"/>
        <w:rPr>
          <w:rFonts w:cs="Tahoma"/>
        </w:rPr>
      </w:pPr>
      <w:r w:rsidRPr="000F6794">
        <w:rPr>
          <w:rFonts w:cs="Tahoma"/>
        </w:rPr>
        <w:t xml:space="preserve">Besides liquidity, high solvency of banks is also a pillar of the overall stability and resilience of the banking system. As of December 31, 2013, the capital adequacy ratio of the banking system recorded a small decline compared with the previous year, but it remains twice higher than the </w:t>
      </w:r>
      <w:r w:rsidRPr="000F6794">
        <w:rPr>
          <w:rFonts w:cs="Tahoma"/>
        </w:rPr>
        <w:lastRenderedPageBreak/>
        <w:t>legally prescribed minimum and amounts to 16.8%. The simple structure and dominance of the core capital are the main features of the banks' own funds, which will enable their easy adaptation to the new international capital standards (Basel 3). In 2013, in the absence of significant amounts of recapitalization, the banks were mainly oriented towards internal creating of capital i.e. reinvesting the generated profit. Recapitalizations will remain uncertain, especially in domestic banks owned by banks based in the EU that are faced with restructuring in their banking systems and increased supervisory and regulatory requirements. Thus, it is expected that also in 2014, profits will be the main source of increasing the capital, which highlights the importance of profitability for the stability of the banking system, which in 2013 has significantly improved. Profits increased by 58% compared to 2012, primarily due to the growth in net interest income. However, the growth in the net interest income results from lower interest expenses. Thus, the trends in banks' profitability, besides on the quality of the loan portfolio will depend also on the opportunities for maintenance and growth of the net interest income, in circumstances of limited opportunities for growth of the interest income due to the still moderate lending activity of the banks and reduced interest expense.</w:t>
      </w:r>
    </w:p>
    <w:p w:rsidR="000F6794" w:rsidRPr="000F6794" w:rsidRDefault="000F6794" w:rsidP="000F6794">
      <w:pPr>
        <w:ind w:left="-4536"/>
        <w:rPr>
          <w:rFonts w:cs="Tahoma"/>
        </w:rPr>
      </w:pPr>
    </w:p>
    <w:p w:rsidR="000F6794" w:rsidRPr="000F6794" w:rsidRDefault="000F6794" w:rsidP="000F6794">
      <w:pPr>
        <w:ind w:left="-4536"/>
        <w:rPr>
          <w:rFonts w:cs="Tahoma"/>
        </w:rPr>
      </w:pPr>
      <w:r w:rsidRPr="000F6794">
        <w:rPr>
          <w:rFonts w:cs="Tahoma"/>
        </w:rPr>
        <w:t xml:space="preserve">Improved expectations regarding the growth of the domestic economy and stabilization of the international environment in 2014 are expected to have a further positive impact on the banks' activities. The main challenges again refer to the effective revival of banks' lending activity, amid still financially fragile corporate sector, while maintaining banks' profitability, liquidity and capital stability.  </w:t>
      </w:r>
    </w:p>
    <w:p w:rsidR="000F6794" w:rsidRPr="000F6794" w:rsidRDefault="000F6794" w:rsidP="000F6794">
      <w:pPr>
        <w:ind w:left="-4536"/>
        <w:rPr>
          <w:rFonts w:cs="Tahoma"/>
        </w:rPr>
      </w:pPr>
    </w:p>
    <w:p w:rsidR="000F6794" w:rsidRPr="000F6794" w:rsidRDefault="000F6794" w:rsidP="000F6794">
      <w:pPr>
        <w:ind w:left="-4536"/>
        <w:rPr>
          <w:rFonts w:cs="Tahoma"/>
          <w:bCs/>
        </w:rPr>
      </w:pPr>
    </w:p>
    <w:p w:rsidR="000F6794" w:rsidRPr="000F6794" w:rsidRDefault="000F6794" w:rsidP="000F6794">
      <w:pPr>
        <w:ind w:left="-4536"/>
        <w:rPr>
          <w:rFonts w:cs="Tahoma"/>
        </w:rPr>
      </w:pPr>
    </w:p>
    <w:p w:rsidR="000F6794" w:rsidRPr="000F6794" w:rsidRDefault="000F6794" w:rsidP="000F6794">
      <w:pPr>
        <w:rPr>
          <w:rFonts w:cs="Tahoma"/>
          <w:b/>
        </w:rPr>
      </w:pPr>
      <w:r w:rsidRPr="000F6794">
        <w:rPr>
          <w:rFonts w:cs="Tahoma"/>
          <w:b/>
        </w:rPr>
        <w:br w:type="page"/>
      </w:r>
    </w:p>
    <w:p w:rsidR="000F6794" w:rsidRPr="00877709" w:rsidRDefault="000F6794" w:rsidP="000F6794">
      <w:pPr>
        <w:rPr>
          <w:rFonts w:cs="Tahoma"/>
          <w:b/>
        </w:rPr>
      </w:pPr>
    </w:p>
    <w:p w:rsidR="00877709" w:rsidRPr="00877709" w:rsidRDefault="00877709" w:rsidP="00877709">
      <w:pPr>
        <w:rPr>
          <w:rFonts w:cs="Tahoma"/>
          <w:b/>
        </w:rPr>
      </w:pPr>
    </w:p>
    <w:p w:rsidR="00877709" w:rsidRPr="00877709" w:rsidRDefault="00877709" w:rsidP="00877709">
      <w:pPr>
        <w:rPr>
          <w:rFonts w:cs="Tahoma"/>
          <w:b/>
        </w:rPr>
      </w:pPr>
    </w:p>
    <w:p w:rsidR="00877709" w:rsidRPr="00877709" w:rsidRDefault="00877709" w:rsidP="00877709">
      <w:pPr>
        <w:rPr>
          <w:rFonts w:cs="Tahoma"/>
          <w:b/>
        </w:rPr>
      </w:pPr>
    </w:p>
    <w:p w:rsidR="00877709" w:rsidRPr="00877709" w:rsidRDefault="00877709" w:rsidP="00877709">
      <w:pPr>
        <w:rPr>
          <w:rFonts w:cs="Tahoma"/>
          <w:b/>
        </w:rPr>
      </w:pPr>
    </w:p>
    <w:p w:rsidR="00877709" w:rsidRPr="00877709" w:rsidRDefault="00877709" w:rsidP="00877709">
      <w:pPr>
        <w:rPr>
          <w:rFonts w:cs="Tahoma"/>
          <w:b/>
        </w:rPr>
      </w:pPr>
    </w:p>
    <w:p w:rsidR="00877709" w:rsidRPr="00877709" w:rsidRDefault="00877709" w:rsidP="00877709">
      <w:pPr>
        <w:rPr>
          <w:rFonts w:cs="Tahoma"/>
          <w:b/>
        </w:rPr>
      </w:pPr>
    </w:p>
    <w:p w:rsidR="00877709" w:rsidRDefault="00877709" w:rsidP="00877709">
      <w:pPr>
        <w:rPr>
          <w:rFonts w:cs="Tahoma"/>
          <w:b/>
        </w:rPr>
      </w:pPr>
    </w:p>
    <w:p w:rsidR="00877709" w:rsidRDefault="00877709" w:rsidP="00877709">
      <w:pPr>
        <w:rPr>
          <w:rFonts w:cs="Tahoma"/>
          <w:b/>
        </w:rPr>
      </w:pPr>
    </w:p>
    <w:p w:rsidR="00877709" w:rsidRDefault="00877709" w:rsidP="00877709">
      <w:pPr>
        <w:rPr>
          <w:rFonts w:cs="Tahoma"/>
          <w:b/>
        </w:rPr>
      </w:pPr>
    </w:p>
    <w:p w:rsidR="00877709" w:rsidRDefault="00877709" w:rsidP="00877709">
      <w:pPr>
        <w:rPr>
          <w:rFonts w:cs="Tahoma"/>
          <w:b/>
        </w:rPr>
      </w:pPr>
    </w:p>
    <w:p w:rsidR="00877709" w:rsidRDefault="00877709" w:rsidP="00877709">
      <w:pPr>
        <w:rPr>
          <w:rFonts w:cs="Tahoma"/>
          <w:b/>
        </w:rPr>
      </w:pPr>
    </w:p>
    <w:p w:rsidR="00877709" w:rsidRPr="00877709" w:rsidRDefault="00877709" w:rsidP="00877709">
      <w:pPr>
        <w:rPr>
          <w:rFonts w:cs="Tahoma"/>
          <w:b/>
        </w:rPr>
      </w:pPr>
    </w:p>
    <w:p w:rsidR="00877709" w:rsidRPr="00877709" w:rsidRDefault="00877709" w:rsidP="00877709">
      <w:pPr>
        <w:rPr>
          <w:rFonts w:cs="Tahoma"/>
          <w:b/>
        </w:rPr>
      </w:pPr>
    </w:p>
    <w:p w:rsidR="00877709" w:rsidRPr="00021261" w:rsidRDefault="00877709" w:rsidP="00021261">
      <w:pPr>
        <w:pStyle w:val="Heading1"/>
        <w:numPr>
          <w:ilvl w:val="0"/>
          <w:numId w:val="0"/>
        </w:numPr>
        <w:ind w:left="-4536"/>
        <w:jc w:val="center"/>
      </w:pPr>
      <w:bookmarkStart w:id="2" w:name="_Toc393283585"/>
      <w:r w:rsidRPr="00021261">
        <w:t>Part 1</w:t>
      </w:r>
      <w:r w:rsidR="00021261" w:rsidRPr="00021261">
        <w:t xml:space="preserve"> </w:t>
      </w:r>
      <w:r w:rsidR="00021261">
        <w:rPr>
          <w:lang w:val="en-US"/>
        </w:rPr>
        <w:t xml:space="preserve">                                                                                                      </w:t>
      </w:r>
      <w:r w:rsidRPr="00021261">
        <w:t>Risks in banking operations</w:t>
      </w:r>
      <w:bookmarkEnd w:id="2"/>
    </w:p>
    <w:p w:rsidR="007C1FCF" w:rsidRPr="00877709" w:rsidRDefault="007C1FCF"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2A11AC" w:rsidRPr="00736514" w:rsidRDefault="002A11AC" w:rsidP="002A11AC">
      <w:pPr>
        <w:pStyle w:val="Heading1"/>
        <w:rPr>
          <w:sz w:val="22"/>
          <w:szCs w:val="22"/>
        </w:rPr>
      </w:pPr>
      <w:bookmarkStart w:id="3" w:name="_Toc393283586"/>
      <w:bookmarkStart w:id="4" w:name="_Toc305677580"/>
      <w:bookmarkStart w:id="5" w:name="_Toc299102818"/>
      <w:r w:rsidRPr="00736514">
        <w:rPr>
          <w:sz w:val="22"/>
          <w:szCs w:val="22"/>
        </w:rPr>
        <w:lastRenderedPageBreak/>
        <w:t>Risks in banking operations</w:t>
      </w:r>
      <w:bookmarkEnd w:id="3"/>
    </w:p>
    <w:p w:rsidR="002A11AC" w:rsidRPr="00BF7C7F" w:rsidRDefault="002A11AC" w:rsidP="002A11AC">
      <w:pPr>
        <w:ind w:left="-4536" w:firstLine="708"/>
        <w:rPr>
          <w:rFonts w:eastAsia="Times New Roman" w:cs="Tahoma"/>
          <w:b/>
          <w:bCs/>
          <w:sz w:val="24"/>
          <w:szCs w:val="24"/>
        </w:rPr>
      </w:pPr>
    </w:p>
    <w:p w:rsidR="002A11AC" w:rsidRPr="00E6388E" w:rsidRDefault="002A11AC" w:rsidP="00C5550A">
      <w:pPr>
        <w:pStyle w:val="Heading2"/>
      </w:pPr>
      <w:bookmarkStart w:id="6" w:name="_Toc393283587"/>
      <w:r w:rsidRPr="00E6388E">
        <w:t>Credit Risk</w:t>
      </w:r>
      <w:bookmarkEnd w:id="6"/>
    </w:p>
    <w:p w:rsidR="002A11AC" w:rsidRPr="00E6388E" w:rsidRDefault="002A11AC" w:rsidP="002A11AC">
      <w:pPr>
        <w:ind w:left="-4536" w:firstLine="708"/>
        <w:rPr>
          <w:rFonts w:eastAsia="Times New Roman" w:cs="Tahoma"/>
          <w:b/>
          <w:bCs/>
        </w:rPr>
      </w:pPr>
    </w:p>
    <w:p w:rsidR="002A11AC" w:rsidRPr="00E6388E" w:rsidRDefault="002A11AC" w:rsidP="002A11AC">
      <w:pPr>
        <w:ind w:left="-4536" w:firstLine="708"/>
        <w:rPr>
          <w:rFonts w:eastAsia="Times New Roman" w:cs="Tahoma"/>
          <w:b/>
          <w:bCs/>
        </w:rPr>
      </w:pPr>
      <w:r w:rsidRPr="00E6388E">
        <w:rPr>
          <w:rFonts w:eastAsia="Times New Roman" w:cs="Tahoma"/>
          <w:b/>
          <w:bCs/>
        </w:rPr>
        <w:t xml:space="preserve">The exposure of the banking system to credit risk registered divergent movements during 2013. In the first half of the year, the growth of non-performing loans was very fast, while in the second half of the year it slowed down significantly. This could be, to some extent, linked with the economic recovery during the year, with the collections of non-performing loans, but also with the enhanced efforts of some banks to restructure the claims i.e. to adjust the credit conditions to current financial difficulties of the customer in order to facilitate the fulfillment of their credit liabilities. Additional incentive may also be given by the new regulation for credit risk management, which began to be implemented on 1 December 2013, under which it is more beneficial for the banks (regarding the cost of allocating loan loss provisions) to try to restructure the customers’ liabilities to the bank when they first see their financial difficulties, rather than wait for them to receive the non-performing status. But if the purpose for which ​​the mentioned restructuring was made is not fulfilled (which is to reduce the credit burden, in order for the client to </w:t>
      </w:r>
      <w:r>
        <w:rPr>
          <w:rFonts w:eastAsia="Times New Roman" w:cs="Tahoma"/>
          <w:b/>
          <w:bCs/>
        </w:rPr>
        <w:t>overcome</w:t>
      </w:r>
      <w:r w:rsidRPr="00E6388E">
        <w:rPr>
          <w:rFonts w:eastAsia="Times New Roman" w:cs="Tahoma"/>
          <w:b/>
          <w:bCs/>
        </w:rPr>
        <w:t xml:space="preserve"> current financial problems), non-performing loans may grow in a medium term. The effect would be similar if the restructuring is not set correctly, i.e. if it is a simple time delay </w:t>
      </w:r>
      <w:r>
        <w:rPr>
          <w:rFonts w:eastAsia="Times New Roman" w:cs="Tahoma"/>
          <w:b/>
          <w:bCs/>
        </w:rPr>
        <w:t>in</w:t>
      </w:r>
      <w:r w:rsidRPr="00E6388E">
        <w:rPr>
          <w:rFonts w:eastAsia="Times New Roman" w:cs="Tahoma"/>
          <w:b/>
          <w:bCs/>
        </w:rPr>
        <w:t xml:space="preserve"> the recognition of expected credit risk losses. However, one should bear in mind that the analyses show that slightly more than half of the restructured exposures retain the performing status two years later, which points to good restructuring (assuming that the period of two years is enough to see the results of the restructuring). To a lesser extent, the new regulation may also contribute to limiting the growth of non-performing loans, due to the provision according to which all the collected non-performing claims, where the collection has been delayed for more than 31 days, are transferred back to the performing status (as opposed to the previous regulation, which required collection of every claim that is past due, even one day), allowing more realistic leaving of the non-performing status. The introduced materiality threshold for transition to a non-performing status may act in the same direction (more details are given in the text in the box). </w:t>
      </w:r>
    </w:p>
    <w:p w:rsidR="002A11AC" w:rsidRPr="00E6388E" w:rsidRDefault="002A11AC" w:rsidP="002A11AC">
      <w:pPr>
        <w:ind w:left="-4536" w:firstLine="708"/>
        <w:rPr>
          <w:rFonts w:eastAsia="Times New Roman" w:cs="Tahoma"/>
          <w:b/>
          <w:bCs/>
        </w:rPr>
      </w:pPr>
    </w:p>
    <w:p w:rsidR="002A11AC" w:rsidRPr="00E6388E" w:rsidRDefault="002A11AC" w:rsidP="002A11AC">
      <w:pPr>
        <w:ind w:left="-4536" w:firstLine="708"/>
        <w:rPr>
          <w:rFonts w:eastAsia="Times New Roman" w:cs="Tahoma"/>
          <w:b/>
          <w:bCs/>
        </w:rPr>
      </w:pPr>
      <w:r w:rsidRPr="00E6388E">
        <w:rPr>
          <w:rFonts w:eastAsia="Times New Roman" w:cs="Tahoma"/>
          <w:b/>
          <w:bCs/>
        </w:rPr>
        <w:t>Considering the dynamics of non-performing loans, in circumstances when there are still risks and uncertainties in the environment that affect the banks’ perception of risk and their behavior on the credit market, the share of non-performing loans to total loans at the end of 2013 increased by 1 percentage points compared to 2012. However, it is at the lowest level in the year (except January), having in mind the slower growth in the second half of the year. This is due to the continuous decrease of this share among households, but also the increased lending activity to the corporate sector. The slowdown in the annual growth of non-performing loans continued in the first months of 2014 and at the end of February it equaled 4.8%, while the share of non-performing loans to total loans amounted to 11.6%, registering a minimal change compared to December (11</w:t>
      </w:r>
      <w:r>
        <w:rPr>
          <w:rFonts w:eastAsia="Times New Roman" w:cs="Tahoma"/>
          <w:b/>
          <w:bCs/>
        </w:rPr>
        <w:t>.</w:t>
      </w:r>
      <w:r w:rsidRPr="00E6388E">
        <w:rPr>
          <w:rFonts w:eastAsia="Times New Roman" w:cs="Tahoma"/>
          <w:b/>
          <w:bCs/>
        </w:rPr>
        <w:t xml:space="preserve"> 5%).</w:t>
      </w:r>
    </w:p>
    <w:p w:rsidR="002A11AC" w:rsidRPr="00E6388E" w:rsidRDefault="002A11AC" w:rsidP="002A11AC">
      <w:pPr>
        <w:ind w:left="-4536" w:firstLine="708"/>
        <w:rPr>
          <w:rFonts w:eastAsia="Times New Roman" w:cs="Tahoma"/>
          <w:b/>
          <w:bCs/>
        </w:rPr>
      </w:pPr>
    </w:p>
    <w:p w:rsidR="002A11AC" w:rsidRPr="00E6388E" w:rsidRDefault="002A11AC" w:rsidP="002A11AC">
      <w:pPr>
        <w:ind w:left="-4536" w:firstLine="708"/>
        <w:rPr>
          <w:rFonts w:cs="Tahoma"/>
        </w:rPr>
      </w:pPr>
      <w:r w:rsidRPr="00E6388E">
        <w:rPr>
          <w:rFonts w:eastAsia="Times New Roman" w:cs="Tahoma"/>
          <w:b/>
          <w:bCs/>
        </w:rPr>
        <w:t xml:space="preserve">Non-performing loans are covered entirely by the total impairment, contributing to minimize the threat for banks' own funds from their possible full default. The own funds of the banking system are sufficient to absorb the risks of </w:t>
      </w:r>
      <w:r w:rsidRPr="00E6388E">
        <w:rPr>
          <w:rFonts w:eastAsia="Times New Roman" w:cs="Tahoma"/>
          <w:b/>
          <w:bCs/>
        </w:rPr>
        <w:lastRenderedPageBreak/>
        <w:t>the simulated extreme deterioration of the loan portfolio quality, which was concluded on the basis of the results of the stress test</w:t>
      </w:r>
      <w:r w:rsidRPr="00E6388E">
        <w:rPr>
          <w:rFonts w:cs="Tahoma"/>
          <w:b/>
        </w:rPr>
        <w:t>.</w:t>
      </w:r>
    </w:p>
    <w:p w:rsidR="002A11AC" w:rsidRPr="00E6388E" w:rsidRDefault="002A11AC" w:rsidP="002A11AC">
      <w:pPr>
        <w:ind w:left="-4536" w:firstLine="720"/>
        <w:rPr>
          <w:rFonts w:cs="Tahoma"/>
          <w:b/>
        </w:rPr>
      </w:pPr>
    </w:p>
    <w:bookmarkEnd w:id="4"/>
    <w:bookmarkEnd w:id="5"/>
    <w:p w:rsidR="002A11AC" w:rsidRPr="00E6388E" w:rsidRDefault="002A11AC" w:rsidP="00C5550A">
      <w:pPr>
        <w:pStyle w:val="Heading3"/>
      </w:pPr>
      <w:r>
        <w:t xml:space="preserve"> </w:t>
      </w:r>
      <w:bookmarkStart w:id="7" w:name="_Toc393283588"/>
      <w:r w:rsidRPr="00E6388E">
        <w:t>Banking system's loan portfolio quality</w:t>
      </w:r>
      <w:bookmarkEnd w:id="7"/>
    </w:p>
    <w:p w:rsidR="002A11AC" w:rsidRPr="00E6388E" w:rsidRDefault="002A11AC" w:rsidP="002A11AC">
      <w:pPr>
        <w:rPr>
          <w:rFonts w:cs="Tahoma"/>
          <w:bCs/>
        </w:rPr>
      </w:pPr>
    </w:p>
    <w:p w:rsidR="002A11AC" w:rsidRPr="00E6388E" w:rsidRDefault="00803610" w:rsidP="002A11AC">
      <w:pPr>
        <w:rPr>
          <w:rFonts w:cs="Tahoma"/>
        </w:rPr>
      </w:pPr>
      <w:r>
        <w:rPr>
          <w:rFonts w:cs="Tahoma"/>
          <w:noProof/>
        </w:rPr>
        <w:pict>
          <v:shapetype id="_x0000_t202" coordsize="21600,21600" o:spt="202" path="m,l,21600r21600,l21600,xe">
            <v:stroke joinstyle="miter"/>
            <v:path gradientshapeok="t" o:connecttype="rect"/>
          </v:shapetype>
          <v:shape id="Text Box 16" o:spid="_x0000_s1143" type="#_x0000_t202" style="position:absolute;left:0;text-align:left;margin-left:-231.95pt;margin-top:9.4pt;width:213.7pt;height:26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" strokecolor="white">
            <v:textbox style="mso-next-textbox:#Text Box 16">
              <w:txbxContent>
                <w:p w:rsidR="00280598" w:rsidRPr="00FB0F62" w:rsidRDefault="00280598" w:rsidP="002A11AC">
                  <w:pPr>
                    <w:pStyle w:val="Caption"/>
                    <w:rPr>
                      <w:lang w:val="mk-MK"/>
                    </w:rPr>
                  </w:pPr>
                  <w:bookmarkStart w:id="8" w:name="_Toc337029093"/>
                  <w:r w:rsidRPr="00FB0F62">
                    <w:t xml:space="preserve">Chart </w:t>
                  </w:r>
                  <w:bookmarkStart w:id="9" w:name="_Hlk303001530"/>
                  <w:bookmarkEnd w:id="8"/>
                  <w:r w:rsidR="00803610" w:rsidRPr="00FB0F62">
                    <w:fldChar w:fldCharType="begin"/>
                  </w:r>
                  <w:r w:rsidRPr="00FB0F62">
                    <w:instrText xml:space="preserve"> SEQ Графикон_бр. \* ARABIC </w:instrText>
                  </w:r>
                  <w:r w:rsidR="00803610" w:rsidRPr="00FB0F62">
                    <w:fldChar w:fldCharType="separate"/>
                  </w:r>
                  <w:r>
                    <w:rPr>
                      <w:noProof/>
                    </w:rPr>
                    <w:t>1</w:t>
                  </w:r>
                  <w:r w:rsidR="00803610" w:rsidRPr="00FB0F62">
                    <w:fldChar w:fldCharType="end"/>
                  </w:r>
                  <w:bookmarkEnd w:id="9"/>
                </w:p>
                <w:p w:rsidR="00280598" w:rsidRPr="00FB0F62" w:rsidRDefault="00280598" w:rsidP="002A11AC">
                  <w:pPr>
                    <w:pStyle w:val="Caption"/>
                  </w:pPr>
                  <w:r w:rsidRPr="00FB0F62">
                    <w:t>Annual growth of credit exposure, by items</w:t>
                  </w:r>
                </w:p>
                <w:p w:rsidR="00280598" w:rsidRPr="00FB0F62" w:rsidRDefault="00280598" w:rsidP="002A11AC">
                  <w:pPr>
                    <w:rPr>
                      <w:sz w:val="18"/>
                      <w:szCs w:val="18"/>
                    </w:rPr>
                  </w:pPr>
                  <w:r>
                    <w:rPr>
                      <w:sz w:val="18"/>
                      <w:szCs w:val="18"/>
                    </w:rPr>
                    <w:t>in millions of denars and in %</w:t>
                  </w:r>
                </w:p>
                <w:p w:rsidR="00280598" w:rsidRPr="00901E10" w:rsidRDefault="00280598" w:rsidP="002A11AC">
                  <w:pPr>
                    <w:rPr>
                      <w:lang w:val="mk-MK"/>
                    </w:rPr>
                  </w:pPr>
                  <w:r w:rsidRPr="00824670">
                    <w:rPr>
                      <w:noProof/>
                    </w:rPr>
                    <w:drawing>
                      <wp:inline distT="0" distB="0" distL="0" distR="0">
                        <wp:extent cx="2514600" cy="1885950"/>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521585" cy="1891189"/>
                                </a:xfrm>
                                <a:prstGeom prst="rect">
                                  <a:avLst/>
                                </a:prstGeom>
                                <a:noFill/>
                                <a:ln w="9525">
                                  <a:noFill/>
                                  <a:miter lim="800000"/>
                                  <a:headEnd/>
                                  <a:tailEnd/>
                                </a:ln>
                              </pic:spPr>
                            </pic:pic>
                          </a:graphicData>
                        </a:graphic>
                      </wp:inline>
                    </w:drawing>
                  </w:r>
                </w:p>
                <w:p w:rsidR="00280598" w:rsidRPr="00FB0F62" w:rsidRDefault="00280598" w:rsidP="002A11AC">
                  <w:pPr>
                    <w:rPr>
                      <w:sz w:val="18"/>
                      <w:szCs w:val="18"/>
                      <w:lang w:val="en-GB"/>
                    </w:rPr>
                  </w:pPr>
                  <w:r w:rsidRPr="00FB0F62">
                    <w:rPr>
                      <w:sz w:val="18"/>
                      <w:szCs w:val="18"/>
                    </w:rPr>
                    <w:t>Source</w:t>
                  </w:r>
                  <w:r w:rsidRPr="00FB0F62">
                    <w:rPr>
                      <w:sz w:val="18"/>
                      <w:szCs w:val="18"/>
                      <w:lang w:val="en-GB"/>
                    </w:rPr>
                    <w:t>: NBRM’s Credit Registry, based on data submitted by banks.</w:t>
                  </w:r>
                </w:p>
                <w:p w:rsidR="00280598" w:rsidRPr="00FB0F62" w:rsidRDefault="00280598" w:rsidP="002A11AC">
                  <w:pPr>
                    <w:rPr>
                      <w:sz w:val="18"/>
                      <w:szCs w:val="18"/>
                      <w:lang w:val="en-GB"/>
                    </w:rPr>
                  </w:pPr>
                  <w:r w:rsidRPr="00FB0F62">
                    <w:rPr>
                      <w:sz w:val="18"/>
                      <w:szCs w:val="18"/>
                      <w:lang w:val="en-GB"/>
                    </w:rPr>
                    <w:t>Other claims, besides fees, commissions etc., also include banks’ investments in CB and treasury bills and government bonds.</w:t>
                  </w: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rPr>
                      <w:lang w:val="mk-MK"/>
                    </w:rPr>
                  </w:pPr>
                </w:p>
              </w:txbxContent>
            </v:textbox>
            <w10:wrap type="square"/>
          </v:shape>
        </w:pict>
      </w:r>
      <w:r w:rsidR="002A11AC" w:rsidRPr="00E6388E">
        <w:rPr>
          <w:rFonts w:cs="Tahoma"/>
        </w:rPr>
        <w:tab/>
        <w:t>As of December 31, 2013, the total credit exposure</w:t>
      </w:r>
      <w:r w:rsidR="002A11AC" w:rsidRPr="00E6388E">
        <w:rPr>
          <w:rStyle w:val="FootnoteReference"/>
          <w:rFonts w:cs="Tahoma"/>
        </w:rPr>
        <w:footnoteReference w:id="1"/>
      </w:r>
      <w:r w:rsidR="002A11AC" w:rsidRPr="00E6388E">
        <w:rPr>
          <w:rFonts w:cs="Tahoma"/>
        </w:rPr>
        <w:t xml:space="preserve"> of the banking system reached Denar 386,952 million and increased by Denar 21,391 million on annual basis. This is a 2.2 percentage points slower growth compared to the previous year, resulting from the downward movement of the credit exposure to financial institutions, and the slower growth of the credit exposure to non-financial entities. Exposure to financial institutions declined by Denar 271 million, or 0.4%, due to lower short-term funds on the accounts in foreign banks (correspondent accounts and short-term deposits) and investments in CB bills. Guided by the more attractive yields and wider offer of government securities, banks increased their credit exposure to the government (by Denar 6,984 million, or 21.7%) with the investments in Treasury bills and longer-term government bonds. In 2013, banks continued to support the non-financial sector, whereby the credit exposure to non-financial entities (excluding the exposure to the financial institutions and the government) registered an annual growth of Denar 14,677 million, or 5.7% (7.0% in 2012) and contributed with 68.6% to the growth of the total credit exposure. Two-thirds of this growth stem from the growth of the credit exposure to households (Denar 9,927 million or 10.3%) in the form of consumer loans and loans for the purchase and renovation of residential property, while the rest comes from the growth of the credit exposure to companies and other customers</w:t>
      </w:r>
      <w:r w:rsidR="002A11AC" w:rsidRPr="00E6388E">
        <w:rPr>
          <w:rStyle w:val="FootnoteReference"/>
          <w:rFonts w:cs="Tahoma"/>
        </w:rPr>
        <w:footnoteReference w:id="2"/>
      </w:r>
      <w:r w:rsidR="002A11AC" w:rsidRPr="00E6388E">
        <w:rPr>
          <w:rFonts w:cs="Tahoma"/>
        </w:rPr>
        <w:t xml:space="preserve"> (Denar 4,751 million, or 2.9%), especially in the activity "wholesale and retail trade" (Annex 18). Regarding the currency, during 2013, exposure in Denars registered markedly higher growth, </w:t>
      </w:r>
      <w:r w:rsidR="002A11AC" w:rsidRPr="00E6388E">
        <w:rPr>
          <w:rFonts w:cs="Tahoma"/>
        </w:rPr>
        <w:lastRenderedPageBreak/>
        <w:t>compared with the exposure with foreign currency component, which reflects the faster growth of Denar loans and investments in Denar instruments. However, almost half of the credit exposure is still with currency component, which emphasizes the importance of currency risk in the credit exposure risk structure.</w:t>
      </w:r>
    </w:p>
    <w:p w:rsidR="002A11AC" w:rsidRPr="00E6388E" w:rsidRDefault="00803610" w:rsidP="002A11AC">
      <w:pPr>
        <w:rPr>
          <w:rFonts w:cs="Tahoma"/>
        </w:rPr>
      </w:pPr>
      <w:r>
        <w:rPr>
          <w:rFonts w:cs="Tahoma"/>
          <w:noProof/>
        </w:rPr>
        <w:pict>
          <v:shape id="_x0000_s1144" type="#_x0000_t202" style="position:absolute;left:0;text-align:left;margin-left:-226.5pt;margin-top:-89.8pt;width:213.7pt;height:359.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" strokecolor="white">
            <v:textbox style="mso-next-textbox:#_x0000_s1144">
              <w:txbxContent>
                <w:p w:rsidR="00280598" w:rsidRPr="00FB0F62" w:rsidRDefault="00280598" w:rsidP="002A11AC">
                  <w:pPr>
                    <w:pStyle w:val="Caption"/>
                    <w:rPr>
                      <w:lang w:val="mk-MK"/>
                    </w:rPr>
                  </w:pPr>
                  <w:r w:rsidRPr="00FB0F62">
                    <w:t xml:space="preserve">Chart </w:t>
                  </w:r>
                  <w:fldSimple w:instr=" SEQ Графикон_бр. \* ARABIC ">
                    <w:r>
                      <w:rPr>
                        <w:noProof/>
                      </w:rPr>
                      <w:t>2</w:t>
                    </w:r>
                  </w:fldSimple>
                </w:p>
                <w:p w:rsidR="00280598" w:rsidRPr="00FB0F62" w:rsidRDefault="00280598" w:rsidP="002A11AC">
                  <w:pPr>
                    <w:pStyle w:val="Caption"/>
                  </w:pPr>
                  <w:r w:rsidRPr="00FB0F62">
                    <w:t xml:space="preserve">Annual growth of credit exposure, by </w:t>
                  </w:r>
                  <w:r>
                    <w:t>sector (up) and currency (down)</w:t>
                  </w:r>
                </w:p>
                <w:p w:rsidR="00280598" w:rsidRPr="00FB0F62" w:rsidRDefault="00280598" w:rsidP="002A11AC">
                  <w:pPr>
                    <w:rPr>
                      <w:sz w:val="18"/>
                      <w:szCs w:val="18"/>
                    </w:rPr>
                  </w:pPr>
                  <w:r>
                    <w:rPr>
                      <w:sz w:val="18"/>
                      <w:szCs w:val="18"/>
                    </w:rPr>
                    <w:t>in millions of denars and in %</w:t>
                  </w:r>
                </w:p>
                <w:p w:rsidR="00280598" w:rsidRPr="00901E10" w:rsidRDefault="00280598" w:rsidP="002A11AC">
                  <w:pPr>
                    <w:rPr>
                      <w:lang w:val="mk-MK"/>
                    </w:rPr>
                  </w:pPr>
                  <w:r w:rsidRPr="001F1F8C">
                    <w:rPr>
                      <w:noProof/>
                      <w:bdr w:val="single" w:sz="4" w:space="0" w:color="auto"/>
                    </w:rPr>
                    <w:drawing>
                      <wp:inline distT="0" distB="0" distL="0" distR="0">
                        <wp:extent cx="2521585" cy="3477782"/>
                        <wp:effectExtent l="0" t="0" r="0"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1585" cy="3477782"/>
                                </a:xfrm>
                                <a:prstGeom prst="rect">
                                  <a:avLst/>
                                </a:prstGeom>
                                <a:noFill/>
                                <a:ln>
                                  <a:noFill/>
                                </a:ln>
                              </pic:spPr>
                            </pic:pic>
                          </a:graphicData>
                        </a:graphic>
                      </wp:inline>
                    </w:drawing>
                  </w:r>
                </w:p>
                <w:p w:rsidR="00280598" w:rsidRPr="00FB0F62" w:rsidRDefault="00280598" w:rsidP="002A11AC">
                  <w:pPr>
                    <w:rPr>
                      <w:sz w:val="18"/>
                      <w:szCs w:val="18"/>
                      <w:lang w:val="en-GB"/>
                    </w:rPr>
                  </w:pPr>
                  <w:r w:rsidRPr="00FB0F62">
                    <w:rPr>
                      <w:sz w:val="18"/>
                      <w:szCs w:val="18"/>
                    </w:rPr>
                    <w:t>Source</w:t>
                  </w:r>
                  <w:r w:rsidRPr="00FB0F62">
                    <w:rPr>
                      <w:sz w:val="18"/>
                      <w:szCs w:val="18"/>
                      <w:lang w:val="en-GB"/>
                    </w:rPr>
                    <w:t>: NBRM’s Credit Registry, based on data submitted by banks.</w:t>
                  </w: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rPr>
                      <w:lang w:val="mk-MK"/>
                    </w:rPr>
                  </w:pPr>
                </w:p>
              </w:txbxContent>
            </v:textbox>
            <w10:wrap type="square"/>
          </v:shape>
        </w:pict>
      </w:r>
    </w:p>
    <w:p w:rsidR="002A11AC" w:rsidRPr="00E6388E" w:rsidRDefault="00803610" w:rsidP="002A11AC">
      <w:pPr>
        <w:rPr>
          <w:rFonts w:cs="Tahoma"/>
        </w:rPr>
      </w:pPr>
      <w:r>
        <w:rPr>
          <w:rFonts w:cs="Tahoma"/>
          <w:noProof/>
        </w:rPr>
        <w:pict>
          <v:shape id="_x0000_s1145" type="#_x0000_t202" style="position:absolute;left:0;text-align:left;margin-left:-226.5pt;margin-top:266.7pt;width:213.7pt;height:207.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" strokecolor="white">
            <v:textbox style="mso-next-textbox:#_x0000_s1145">
              <w:txbxContent>
                <w:p w:rsidR="00280598" w:rsidRPr="00FB0F62" w:rsidRDefault="00280598" w:rsidP="002A11AC">
                  <w:pPr>
                    <w:pStyle w:val="Caption"/>
                    <w:rPr>
                      <w:lang w:val="mk-MK"/>
                    </w:rPr>
                  </w:pPr>
                  <w:r w:rsidRPr="00FB0F62">
                    <w:t xml:space="preserve">Chart </w:t>
                  </w:r>
                  <w:fldSimple w:instr=" SEQ Графикон_бр. \* ARABIC ">
                    <w:r>
                      <w:rPr>
                        <w:noProof/>
                      </w:rPr>
                      <w:t>3</w:t>
                    </w:r>
                  </w:fldSimple>
                </w:p>
                <w:p w:rsidR="00280598" w:rsidRPr="00FB0F62" w:rsidRDefault="00280598" w:rsidP="002A11AC">
                  <w:pPr>
                    <w:pStyle w:val="Caption"/>
                  </w:pPr>
                  <w:r w:rsidRPr="00FB0F62">
                    <w:t xml:space="preserve">Annual growth </w:t>
                  </w:r>
                  <w:r>
                    <w:t>rate of non-performing loans</w:t>
                  </w:r>
                </w:p>
                <w:p w:rsidR="00280598" w:rsidRPr="00FB0F62" w:rsidRDefault="00280598" w:rsidP="002A11AC">
                  <w:pPr>
                    <w:rPr>
                      <w:sz w:val="18"/>
                      <w:szCs w:val="18"/>
                    </w:rPr>
                  </w:pPr>
                  <w:r>
                    <w:rPr>
                      <w:sz w:val="18"/>
                      <w:szCs w:val="18"/>
                    </w:rPr>
                    <w:t>in %</w:t>
                  </w:r>
                </w:p>
                <w:p w:rsidR="00280598" w:rsidRPr="00901E10" w:rsidRDefault="00280598" w:rsidP="002A11AC">
                  <w:pPr>
                    <w:rPr>
                      <w:lang w:val="mk-MK"/>
                    </w:rPr>
                  </w:pPr>
                  <w:r w:rsidRPr="001F1F8C">
                    <w:rPr>
                      <w:noProof/>
                    </w:rPr>
                    <w:drawing>
                      <wp:inline distT="0" distB="0" distL="0" distR="0">
                        <wp:extent cx="2514600" cy="1552575"/>
                        <wp:effectExtent l="19050" t="0" r="0" b="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1552575"/>
                                </a:xfrm>
                                <a:prstGeom prst="rect">
                                  <a:avLst/>
                                </a:prstGeom>
                                <a:noFill/>
                                <a:ln>
                                  <a:noFill/>
                                </a:ln>
                              </pic:spPr>
                            </pic:pic>
                          </a:graphicData>
                        </a:graphic>
                      </wp:inline>
                    </w:drawing>
                  </w:r>
                </w:p>
                <w:p w:rsidR="00280598" w:rsidRPr="00FB0F62" w:rsidRDefault="00280598" w:rsidP="002A11AC">
                  <w:pPr>
                    <w:rPr>
                      <w:sz w:val="18"/>
                      <w:szCs w:val="18"/>
                      <w:lang w:val="en-GB"/>
                    </w:rPr>
                  </w:pPr>
                  <w:r w:rsidRPr="00FB0F62">
                    <w:rPr>
                      <w:sz w:val="18"/>
                      <w:szCs w:val="18"/>
                    </w:rPr>
                    <w:t>Source</w:t>
                  </w:r>
                  <w:r w:rsidRPr="00FB0F62">
                    <w:rPr>
                      <w:sz w:val="18"/>
                      <w:szCs w:val="18"/>
                      <w:lang w:val="en-GB"/>
                    </w:rPr>
                    <w:t>: NBRM</w:t>
                  </w:r>
                  <w:r>
                    <w:rPr>
                      <w:sz w:val="18"/>
                      <w:szCs w:val="18"/>
                      <w:lang w:val="en-GB"/>
                    </w:rPr>
                    <w:t xml:space="preserve">, </w:t>
                  </w:r>
                  <w:r w:rsidRPr="00FB0F62">
                    <w:rPr>
                      <w:sz w:val="18"/>
                      <w:szCs w:val="18"/>
                      <w:lang w:val="en-GB"/>
                    </w:rPr>
                    <w:t>based on data submitted by banks.</w:t>
                  </w: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rPr>
                      <w:lang w:val="mk-MK"/>
                    </w:rPr>
                  </w:pPr>
                </w:p>
              </w:txbxContent>
            </v:textbox>
            <w10:wrap type="square"/>
          </v:shape>
        </w:pict>
      </w:r>
      <w:r w:rsidR="002A11AC">
        <w:rPr>
          <w:rFonts w:cs="Tahoma"/>
        </w:rPr>
        <w:tab/>
      </w:r>
      <w:r w:rsidR="002A11AC" w:rsidRPr="00E6388E">
        <w:rPr>
          <w:rFonts w:cs="Tahoma"/>
        </w:rPr>
        <w:t xml:space="preserve">The deterioration of the loan portfolio quality continued in 2013, which was evident from the higher growth rate of non-performing loans by 3.8 percentage points compared to 2012. Considering the dynamics, the growth of non-performing loans was particularly pronounced in the first half of the year, but starting from July 2013 it began to slow down, and already in February 2014, it was reduced to only 4.8% annually. Their growth comes entirely from the credit exposure to companies, reflecting the deteriorating performance of some customers in "industry", "wholesale and retail trade", "construction" and "activities related to real estate." Non-performing loans to households remained at the same level, but within these frames a reduction was registered in the non-performing consumer and car loans, with simultaneous increase in non-performing residential loans. The analysis of the dynamics of non-performing loans should take into consideration the share of restructured and prolonged exposure to total credit exposure, which at the end of 2013 was 8.7%. In case they were not restructured or prolonged, part of these loans would probably receive a non-performing status, which would appropriately reflect in the movement of non-performing loans. However, one should not overlook the fact that the purpose of the restructuring is to ease the current credit burden on </w:t>
      </w:r>
      <w:r w:rsidR="002A11AC">
        <w:rPr>
          <w:rFonts w:cs="Tahoma"/>
        </w:rPr>
        <w:t>companies</w:t>
      </w:r>
      <w:r w:rsidR="002A11AC" w:rsidRPr="00E6388E">
        <w:rPr>
          <w:rFonts w:cs="Tahoma"/>
        </w:rPr>
        <w:t xml:space="preserve"> in order to overcome the current financial difficulties they are faced with. Even the new Decision on credit risk management, which began to be applied on December 01, 2013, gives an extra boost to banks for timely restructuring</w:t>
      </w:r>
      <w:r w:rsidR="002A11AC" w:rsidRPr="00E6388E">
        <w:rPr>
          <w:rStyle w:val="FootnoteReference"/>
          <w:rFonts w:cs="Tahoma"/>
        </w:rPr>
        <w:footnoteReference w:id="3"/>
      </w:r>
      <w:r w:rsidR="002A11AC" w:rsidRPr="00E6388E">
        <w:rPr>
          <w:rFonts w:cs="Tahoma"/>
        </w:rPr>
        <w:t xml:space="preserve">. Also of particular </w:t>
      </w:r>
      <w:r w:rsidR="002A11AC" w:rsidRPr="00E6388E">
        <w:rPr>
          <w:rFonts w:cs="Tahoma"/>
        </w:rPr>
        <w:lastRenderedPageBreak/>
        <w:t>importance for the banks is to properly use the opportunities for restructuring, i.e. the restructuring of the customers' credit liabilities should be realistically set, in order to avoid the risk of delaying only the time of recognition of credit losses. As of December 31, 2013, 8.2% (6.0% as of December 31, 2012) of the total credit exposure to companies were being restructured. However, in the medium run, if the purpose for which ​​the restructuring was made is not fulfilled, non-performing loans may grow.  The rise in the restructured exposure was followed by appropriate impairment growth, leading to an average risk of the restructured exposure of 39.7% (39.5%, as of December 31, 2012). Prolonged exposure declined, which was entirely due to several customers from the corporate sector whose exposures were restructured in 2013, as a result of their deteriorated financial condition.</w:t>
      </w:r>
    </w:p>
    <w:p w:rsidR="002A11AC" w:rsidRPr="00E6388E" w:rsidRDefault="00803610" w:rsidP="002A11AC">
      <w:pPr>
        <w:rPr>
          <w:rFonts w:cs="Tahoma"/>
        </w:rPr>
      </w:pPr>
      <w:r w:rsidRPr="00803610">
        <w:rPr>
          <w:rFonts w:cs="Tahoma"/>
          <w:noProof/>
          <w:lang w:val="mk-MK" w:eastAsia="mk-MK"/>
        </w:rPr>
        <w:pict>
          <v:shape id="_x0000_s1146" type="#_x0000_t202" style="position:absolute;left:0;text-align:left;margin-left:-228pt;margin-top:-261.65pt;width:213.7pt;height:21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" strokecolor="white">
            <v:textbox style="mso-next-textbox:#_x0000_s1146">
              <w:txbxContent>
                <w:p w:rsidR="00280598" w:rsidRPr="00FB0F62" w:rsidRDefault="00280598" w:rsidP="002A11AC">
                  <w:pPr>
                    <w:pStyle w:val="Caption"/>
                    <w:rPr>
                      <w:lang w:val="mk-MK"/>
                    </w:rPr>
                  </w:pPr>
                  <w:r w:rsidRPr="00FB0F62">
                    <w:t xml:space="preserve">Chart </w:t>
                  </w:r>
                  <w:fldSimple w:instr=" SEQ Графикон_бр. \* ARABIC ">
                    <w:r>
                      <w:rPr>
                        <w:noProof/>
                      </w:rPr>
                      <w:t>4</w:t>
                    </w:r>
                  </w:fldSimple>
                </w:p>
                <w:p w:rsidR="00280598" w:rsidRPr="00FB0F62" w:rsidRDefault="00280598" w:rsidP="002A11AC">
                  <w:pPr>
                    <w:pStyle w:val="Caption"/>
                  </w:pPr>
                  <w:r>
                    <w:t>Restructured and prolonged exposure, by quarter</w:t>
                  </w:r>
                </w:p>
                <w:p w:rsidR="00280598" w:rsidRPr="00FB0F62" w:rsidRDefault="00280598" w:rsidP="002A11AC">
                  <w:pPr>
                    <w:rPr>
                      <w:sz w:val="18"/>
                      <w:szCs w:val="18"/>
                    </w:rPr>
                  </w:pPr>
                  <w:r>
                    <w:rPr>
                      <w:sz w:val="18"/>
                      <w:szCs w:val="18"/>
                    </w:rPr>
                    <w:t>in millions of denars</w:t>
                  </w:r>
                </w:p>
                <w:p w:rsidR="00280598" w:rsidRPr="00901E10" w:rsidRDefault="00280598" w:rsidP="002A11AC">
                  <w:pPr>
                    <w:rPr>
                      <w:lang w:val="mk-MK"/>
                    </w:rPr>
                  </w:pPr>
                  <w:r w:rsidRPr="00C16842">
                    <w:rPr>
                      <w:noProof/>
                    </w:rPr>
                    <w:drawing>
                      <wp:inline distT="0" distB="0" distL="0" distR="0">
                        <wp:extent cx="2521585" cy="1708170"/>
                        <wp:effectExtent l="1905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521585" cy="1708170"/>
                                </a:xfrm>
                                <a:prstGeom prst="rect">
                                  <a:avLst/>
                                </a:prstGeom>
                                <a:noFill/>
                                <a:ln w="9525">
                                  <a:noFill/>
                                  <a:miter lim="800000"/>
                                  <a:headEnd/>
                                  <a:tailEnd/>
                                </a:ln>
                              </pic:spPr>
                            </pic:pic>
                          </a:graphicData>
                        </a:graphic>
                      </wp:inline>
                    </w:drawing>
                  </w:r>
                </w:p>
                <w:p w:rsidR="00280598" w:rsidRPr="00FB0F62" w:rsidRDefault="00280598" w:rsidP="002A11AC">
                  <w:pPr>
                    <w:rPr>
                      <w:sz w:val="18"/>
                      <w:szCs w:val="18"/>
                      <w:lang w:val="en-GB"/>
                    </w:rPr>
                  </w:pPr>
                  <w:r w:rsidRPr="00FB0F62">
                    <w:rPr>
                      <w:sz w:val="18"/>
                      <w:szCs w:val="18"/>
                    </w:rPr>
                    <w:t>Source</w:t>
                  </w:r>
                  <w:r w:rsidRPr="00FB0F62">
                    <w:rPr>
                      <w:sz w:val="18"/>
                      <w:szCs w:val="18"/>
                      <w:lang w:val="en-GB"/>
                    </w:rPr>
                    <w:t>: NBRM</w:t>
                  </w:r>
                  <w:r>
                    <w:rPr>
                      <w:sz w:val="18"/>
                      <w:szCs w:val="18"/>
                      <w:lang w:val="en-GB"/>
                    </w:rPr>
                    <w:t xml:space="preserve">’s Credit Registry, </w:t>
                  </w:r>
                  <w:r w:rsidRPr="00FB0F62">
                    <w:rPr>
                      <w:sz w:val="18"/>
                      <w:szCs w:val="18"/>
                      <w:lang w:val="en-GB"/>
                    </w:rPr>
                    <w:t>based on data submitted by banks.</w:t>
                  </w: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rPr>
                      <w:lang w:val="mk-MK"/>
                    </w:rPr>
                  </w:pPr>
                </w:p>
              </w:txbxContent>
            </v:textbox>
            <w10:wrap type="square"/>
          </v:shape>
        </w:pict>
      </w:r>
    </w:p>
    <w:p w:rsidR="002A11AC" w:rsidRPr="00E6388E" w:rsidRDefault="00803610" w:rsidP="002A11AC">
      <w:pPr>
        <w:ind w:firstLine="720"/>
        <w:rPr>
          <w:rFonts w:cs="Tahoma"/>
        </w:rPr>
      </w:pPr>
      <w:r w:rsidRPr="00803610">
        <w:rPr>
          <w:rFonts w:cs="Tahoma"/>
          <w:noProof/>
          <w:lang w:val="mk-MK" w:eastAsia="mk-MK"/>
        </w:rPr>
        <w:pict>
          <v:shape id="_x0000_s1147" type="#_x0000_t202" style="position:absolute;left:0;text-align:left;margin-left:-222.75pt;margin-top:16.1pt;width:213.7pt;height:209.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" strokecolor="white">
            <v:textbox style="mso-next-textbox:#_x0000_s1147">
              <w:txbxContent>
                <w:p w:rsidR="00280598" w:rsidRPr="00FB0F62" w:rsidRDefault="00280598" w:rsidP="002A11AC">
                  <w:pPr>
                    <w:pStyle w:val="Caption"/>
                    <w:rPr>
                      <w:lang w:val="mk-MK"/>
                    </w:rPr>
                  </w:pPr>
                  <w:r w:rsidRPr="00FB0F62">
                    <w:t xml:space="preserve">Chart </w:t>
                  </w:r>
                  <w:fldSimple w:instr=" SEQ Графикон_бр. \* ARABIC ">
                    <w:r>
                      <w:rPr>
                        <w:noProof/>
                      </w:rPr>
                      <w:t>5</w:t>
                    </w:r>
                  </w:fldSimple>
                </w:p>
                <w:p w:rsidR="00280598" w:rsidRPr="00FB0F62" w:rsidRDefault="00280598" w:rsidP="002A11AC">
                  <w:pPr>
                    <w:pStyle w:val="Caption"/>
                  </w:pPr>
                  <w:r>
                    <w:t>Structure of exposure restructured two years ago, on corresponding date</w:t>
                  </w:r>
                </w:p>
                <w:p w:rsidR="00280598" w:rsidRPr="00FB0F62" w:rsidRDefault="00280598" w:rsidP="002A11AC">
                  <w:pPr>
                    <w:rPr>
                      <w:sz w:val="18"/>
                      <w:szCs w:val="18"/>
                    </w:rPr>
                  </w:pPr>
                  <w:r>
                    <w:rPr>
                      <w:sz w:val="18"/>
                      <w:szCs w:val="18"/>
                    </w:rPr>
                    <w:t>in %</w:t>
                  </w:r>
                </w:p>
                <w:p w:rsidR="00280598" w:rsidRPr="00901E10" w:rsidRDefault="00280598" w:rsidP="002A11AC">
                  <w:pPr>
                    <w:rPr>
                      <w:lang w:val="mk-MK"/>
                    </w:rPr>
                  </w:pPr>
                  <w:r w:rsidRPr="00014DE7">
                    <w:rPr>
                      <w:noProof/>
                    </w:rPr>
                    <w:drawing>
                      <wp:inline distT="0" distB="0" distL="0" distR="0">
                        <wp:extent cx="2457450" cy="1619250"/>
                        <wp:effectExtent l="19050" t="0" r="0"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2454978" cy="1617621"/>
                                </a:xfrm>
                                <a:prstGeom prst="rect">
                                  <a:avLst/>
                                </a:prstGeom>
                                <a:noFill/>
                                <a:ln w="9525">
                                  <a:noFill/>
                                  <a:miter lim="800000"/>
                                  <a:headEnd/>
                                  <a:tailEnd/>
                                </a:ln>
                              </pic:spPr>
                            </pic:pic>
                          </a:graphicData>
                        </a:graphic>
                      </wp:inline>
                    </w:drawing>
                  </w:r>
                </w:p>
                <w:p w:rsidR="00280598" w:rsidRPr="00FB0F62" w:rsidRDefault="00280598" w:rsidP="002A11AC">
                  <w:pPr>
                    <w:rPr>
                      <w:sz w:val="18"/>
                      <w:szCs w:val="18"/>
                      <w:lang w:val="en-GB"/>
                    </w:rPr>
                  </w:pPr>
                  <w:r w:rsidRPr="00FB0F62">
                    <w:rPr>
                      <w:sz w:val="18"/>
                      <w:szCs w:val="18"/>
                    </w:rPr>
                    <w:t>Source</w:t>
                  </w:r>
                  <w:r w:rsidRPr="00FB0F62">
                    <w:rPr>
                      <w:sz w:val="18"/>
                      <w:szCs w:val="18"/>
                      <w:lang w:val="en-GB"/>
                    </w:rPr>
                    <w:t>: NBRM</w:t>
                  </w:r>
                  <w:r>
                    <w:rPr>
                      <w:sz w:val="18"/>
                      <w:szCs w:val="18"/>
                      <w:lang w:val="en-GB"/>
                    </w:rPr>
                    <w:t xml:space="preserve">, </w:t>
                  </w:r>
                  <w:r w:rsidRPr="00FB0F62">
                    <w:rPr>
                      <w:sz w:val="18"/>
                      <w:szCs w:val="18"/>
                      <w:lang w:val="en-GB"/>
                    </w:rPr>
                    <w:t>based on data submitted by banks.</w:t>
                  </w: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rPr>
                      <w:lang w:val="mk-MK"/>
                    </w:rPr>
                  </w:pPr>
                </w:p>
              </w:txbxContent>
            </v:textbox>
            <w10:wrap type="square"/>
          </v:shape>
        </w:pict>
      </w:r>
      <w:r w:rsidR="002A11AC">
        <w:rPr>
          <w:rFonts w:cs="Tahoma"/>
        </w:rPr>
        <w:t xml:space="preserve">Monitoring of </w:t>
      </w:r>
      <w:r w:rsidR="002A11AC" w:rsidRPr="00E6388E">
        <w:rPr>
          <w:rFonts w:cs="Tahoma"/>
        </w:rPr>
        <w:t>the changes in the quality of exposures that were restructured in 2011, in the following two years, showed that as of December 31, 2013, more than half (54.0%) of the exposures restructured in 2011</w:t>
      </w:r>
      <w:r w:rsidR="002A11AC" w:rsidRPr="00E6388E">
        <w:rPr>
          <w:rStyle w:val="FootnoteReference"/>
          <w:rFonts w:cs="Tahoma"/>
        </w:rPr>
        <w:footnoteReference w:id="4"/>
      </w:r>
      <w:r w:rsidR="002A11AC" w:rsidRPr="00E6388E">
        <w:rPr>
          <w:rFonts w:cs="Tahoma"/>
        </w:rPr>
        <w:t xml:space="preserve"> have a performing status two years after the performed restructuring, while the rest of 46.0% are with non-performing status. Exposures with performing status at the end of 2013 are considered successfully restructured exposures to customers who had current financial problems in 2011. Only 11.6% of the exposures restructured in 2011 were again restructured in the next two years. </w:t>
      </w:r>
    </w:p>
    <w:p w:rsidR="002A11AC" w:rsidRPr="00E6388E" w:rsidRDefault="002A11AC" w:rsidP="002A11AC">
      <w:pPr>
        <w:rPr>
          <w:rFonts w:cs="Tahoma"/>
        </w:rPr>
      </w:pPr>
    </w:p>
    <w:p w:rsidR="002A11AC" w:rsidRPr="00E6388E" w:rsidRDefault="002A11AC" w:rsidP="002A11AC">
      <w:pPr>
        <w:rPr>
          <w:rFonts w:cs="Tahoma"/>
        </w:rPr>
      </w:pPr>
      <w:r w:rsidRPr="00E6388E">
        <w:rPr>
          <w:rFonts w:cs="Tahoma"/>
        </w:rPr>
        <w:tab/>
        <w:t xml:space="preserve">The total amount of write-offs during 2013 is at the lowest level in five years. This </w:t>
      </w:r>
      <w:r w:rsidRPr="00E6388E">
        <w:rPr>
          <w:rFonts w:cs="Tahoma"/>
        </w:rPr>
        <w:lastRenderedPageBreak/>
        <w:t>indicates that the write-offs do not have a significant impact on the slower growth of non-performing loans especially in the second half of the year. Thus, excluding the impact of write-offs, the annual growth rate of non-performing loans as of December 31, 2013 would increase by only 1.5 percentage points. Claims written off in 2013 are mostly (71.9%) related to companies, while in the overall recovery of already written off claims, most frequent are the collections from natural persons, with 75.0%.</w:t>
      </w:r>
    </w:p>
    <w:p w:rsidR="002A11AC" w:rsidRPr="00E6388E" w:rsidRDefault="00803610" w:rsidP="002A11AC">
      <w:pPr>
        <w:rPr>
          <w:rFonts w:cs="Tahoma"/>
        </w:rPr>
      </w:pPr>
      <w:r w:rsidRPr="00803610">
        <w:rPr>
          <w:rFonts w:cs="Tahoma"/>
          <w:noProof/>
          <w:lang w:val="mk-MK" w:eastAsia="mk-MK"/>
        </w:rPr>
        <w:pict>
          <v:shape id="_x0000_s1148" type="#_x0000_t202" style="position:absolute;left:0;text-align:left;margin-left:-223.5pt;margin-top:-144.4pt;width:213.7pt;height:203.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" strokecolor="white">
            <v:textbox style="mso-next-textbox:#_x0000_s1148">
              <w:txbxContent>
                <w:p w:rsidR="00280598" w:rsidRPr="00FB0F62" w:rsidRDefault="00280598" w:rsidP="002A11AC">
                  <w:pPr>
                    <w:pStyle w:val="Caption"/>
                    <w:rPr>
                      <w:lang w:val="mk-MK"/>
                    </w:rPr>
                  </w:pPr>
                  <w:r w:rsidRPr="00FB0F62">
                    <w:t xml:space="preserve">Chart </w:t>
                  </w:r>
                  <w:fldSimple w:instr=" SEQ Графикон_бр. \* ARABIC ">
                    <w:r>
                      <w:rPr>
                        <w:noProof/>
                      </w:rPr>
                      <w:t>6</w:t>
                    </w:r>
                  </w:fldSimple>
                </w:p>
                <w:p w:rsidR="00280598" w:rsidRPr="00FB0F62" w:rsidRDefault="00280598" w:rsidP="002A11AC">
                  <w:pPr>
                    <w:pStyle w:val="Caption"/>
                  </w:pPr>
                  <w:r>
                    <w:t>Written-off claims, by years</w:t>
                  </w:r>
                </w:p>
                <w:p w:rsidR="00280598" w:rsidRPr="00FB0F62" w:rsidRDefault="00280598" w:rsidP="002A11AC">
                  <w:pPr>
                    <w:rPr>
                      <w:sz w:val="18"/>
                      <w:szCs w:val="18"/>
                    </w:rPr>
                  </w:pPr>
                  <w:r>
                    <w:rPr>
                      <w:sz w:val="18"/>
                      <w:szCs w:val="18"/>
                    </w:rPr>
                    <w:t>in millions of denars</w:t>
                  </w:r>
                </w:p>
                <w:p w:rsidR="00280598" w:rsidRPr="00901E10" w:rsidRDefault="00280598" w:rsidP="002A11AC">
                  <w:pPr>
                    <w:rPr>
                      <w:lang w:val="mk-MK"/>
                    </w:rPr>
                  </w:pPr>
                  <w:r w:rsidRPr="00014DE7">
                    <w:rPr>
                      <w:noProof/>
                    </w:rPr>
                    <w:drawing>
                      <wp:inline distT="0" distB="0" distL="0" distR="0">
                        <wp:extent cx="2495550" cy="1704975"/>
                        <wp:effectExtent l="1905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2496558" cy="1705664"/>
                                </a:xfrm>
                                <a:prstGeom prst="rect">
                                  <a:avLst/>
                                </a:prstGeom>
                                <a:noFill/>
                                <a:ln w="9525">
                                  <a:noFill/>
                                  <a:miter lim="800000"/>
                                  <a:headEnd/>
                                  <a:tailEnd/>
                                </a:ln>
                              </pic:spPr>
                            </pic:pic>
                          </a:graphicData>
                        </a:graphic>
                      </wp:inline>
                    </w:drawing>
                  </w:r>
                </w:p>
                <w:p w:rsidR="00280598" w:rsidRPr="00FB0F62" w:rsidRDefault="00280598" w:rsidP="002A11AC">
                  <w:pPr>
                    <w:rPr>
                      <w:sz w:val="18"/>
                      <w:szCs w:val="18"/>
                      <w:lang w:val="en-GB"/>
                    </w:rPr>
                  </w:pPr>
                  <w:r w:rsidRPr="00FB0F62">
                    <w:rPr>
                      <w:sz w:val="18"/>
                      <w:szCs w:val="18"/>
                    </w:rPr>
                    <w:t>Source</w:t>
                  </w:r>
                  <w:r w:rsidRPr="00FB0F62">
                    <w:rPr>
                      <w:sz w:val="18"/>
                      <w:szCs w:val="18"/>
                      <w:lang w:val="en-GB"/>
                    </w:rPr>
                    <w:t>: NBRM</w:t>
                  </w:r>
                  <w:r>
                    <w:rPr>
                      <w:sz w:val="18"/>
                      <w:szCs w:val="18"/>
                      <w:lang w:val="en-GB"/>
                    </w:rPr>
                    <w:t xml:space="preserve">, </w:t>
                  </w:r>
                  <w:r w:rsidRPr="00FB0F62">
                    <w:rPr>
                      <w:sz w:val="18"/>
                      <w:szCs w:val="18"/>
                      <w:lang w:val="en-GB"/>
                    </w:rPr>
                    <w:t>based on data submitted by banks.</w:t>
                  </w: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rPr>
                      <w:lang w:val="mk-MK"/>
                    </w:rPr>
                  </w:pPr>
                </w:p>
              </w:txbxContent>
            </v:textbox>
            <w10:wrap type="square"/>
          </v:shape>
        </w:pict>
      </w:r>
    </w:p>
    <w:p w:rsidR="002A11AC" w:rsidRPr="00E6388E" w:rsidRDefault="00803610" w:rsidP="002A11AC">
      <w:pPr>
        <w:ind w:firstLine="720"/>
        <w:rPr>
          <w:rFonts w:cs="Tahoma"/>
        </w:rPr>
      </w:pPr>
      <w:r w:rsidRPr="00803610">
        <w:rPr>
          <w:rFonts w:cs="Tahoma"/>
          <w:noProof/>
          <w:lang w:val="mk-MK" w:eastAsia="mk-MK"/>
        </w:rPr>
        <w:pict>
          <v:shape id="_x0000_s1149" type="#_x0000_t202" style="position:absolute;left:0;text-align:left;margin-left:-223.5pt;margin-top:65.85pt;width:213.7pt;height:25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" strokecolor="white">
            <v:textbox style="mso-next-textbox:#_x0000_s1149">
              <w:txbxContent>
                <w:p w:rsidR="00280598" w:rsidRPr="00FB0F62" w:rsidRDefault="00280598" w:rsidP="002A11AC">
                  <w:pPr>
                    <w:pStyle w:val="Caption"/>
                    <w:rPr>
                      <w:lang w:val="mk-MK"/>
                    </w:rPr>
                  </w:pPr>
                  <w:r w:rsidRPr="00FB0F62">
                    <w:t xml:space="preserve">Chart </w:t>
                  </w:r>
                  <w:fldSimple w:instr=" SEQ Графикон_бр. \* ARABIC ">
                    <w:r>
                      <w:rPr>
                        <w:noProof/>
                      </w:rPr>
                      <w:t>7</w:t>
                    </w:r>
                  </w:fldSimple>
                </w:p>
                <w:p w:rsidR="00280598" w:rsidRPr="00FB0F62" w:rsidRDefault="00280598" w:rsidP="002A11AC">
                  <w:pPr>
                    <w:pStyle w:val="Caption"/>
                  </w:pPr>
                  <w:r>
                    <w:t>Structure of loans that on 31.12.2013 received regular status, while on 30.11.2013 were non-performing, by risk category</w:t>
                  </w:r>
                </w:p>
                <w:p w:rsidR="00280598" w:rsidRPr="00FB0F62" w:rsidRDefault="00280598" w:rsidP="002A11AC">
                  <w:pPr>
                    <w:rPr>
                      <w:sz w:val="18"/>
                      <w:szCs w:val="18"/>
                    </w:rPr>
                  </w:pPr>
                  <w:r>
                    <w:rPr>
                      <w:sz w:val="18"/>
                      <w:szCs w:val="18"/>
                    </w:rPr>
                    <w:t>in %</w:t>
                  </w:r>
                </w:p>
                <w:p w:rsidR="00280598" w:rsidRPr="00901E10" w:rsidRDefault="00280598" w:rsidP="002A11AC">
                  <w:pPr>
                    <w:rPr>
                      <w:lang w:val="mk-MK"/>
                    </w:rPr>
                  </w:pPr>
                  <w:r w:rsidRPr="001E7E74">
                    <w:rPr>
                      <w:noProof/>
                    </w:rPr>
                    <w:drawing>
                      <wp:inline distT="0" distB="0" distL="0" distR="0">
                        <wp:extent cx="2495550" cy="1847850"/>
                        <wp:effectExtent l="1905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495258" cy="1847634"/>
                                </a:xfrm>
                                <a:prstGeom prst="rect">
                                  <a:avLst/>
                                </a:prstGeom>
                                <a:noFill/>
                                <a:ln w="9525">
                                  <a:noFill/>
                                  <a:miter lim="800000"/>
                                  <a:headEnd/>
                                  <a:tailEnd/>
                                </a:ln>
                              </pic:spPr>
                            </pic:pic>
                          </a:graphicData>
                        </a:graphic>
                      </wp:inline>
                    </w:drawing>
                  </w:r>
                </w:p>
                <w:p w:rsidR="00280598" w:rsidRPr="00FB0F62" w:rsidRDefault="00280598" w:rsidP="002A11AC">
                  <w:pPr>
                    <w:rPr>
                      <w:sz w:val="18"/>
                      <w:szCs w:val="18"/>
                      <w:lang w:val="en-GB"/>
                    </w:rPr>
                  </w:pPr>
                  <w:r w:rsidRPr="00FB0F62">
                    <w:rPr>
                      <w:sz w:val="18"/>
                      <w:szCs w:val="18"/>
                    </w:rPr>
                    <w:t>Source</w:t>
                  </w:r>
                  <w:r w:rsidRPr="00FB0F62">
                    <w:rPr>
                      <w:sz w:val="18"/>
                      <w:szCs w:val="18"/>
                      <w:lang w:val="en-GB"/>
                    </w:rPr>
                    <w:t>: NBRM</w:t>
                  </w:r>
                  <w:r>
                    <w:rPr>
                      <w:sz w:val="18"/>
                      <w:szCs w:val="18"/>
                      <w:lang w:val="en-GB"/>
                    </w:rPr>
                    <w:t xml:space="preserve">, </w:t>
                  </w:r>
                  <w:r w:rsidRPr="00FB0F62">
                    <w:rPr>
                      <w:sz w:val="18"/>
                      <w:szCs w:val="18"/>
                      <w:lang w:val="en-GB"/>
                    </w:rPr>
                    <w:t>based on data submitted by banks.</w:t>
                  </w: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rPr>
                      <w:lang w:val="mk-MK"/>
                    </w:rPr>
                  </w:pPr>
                </w:p>
              </w:txbxContent>
            </v:textbox>
            <w10:wrap type="square"/>
          </v:shape>
        </w:pict>
      </w:r>
      <w:r w:rsidR="002A11AC" w:rsidRPr="00E6388E">
        <w:rPr>
          <w:rFonts w:cs="Tahoma"/>
        </w:rPr>
        <w:t>Of the total non-performing loans as of November 30, 2013, 3.4% received a performing status in the following month, i.e. at the end of the year. According to the characteristics of the risk categories, the highest percentage of shift from non-performing to performing status in one month is registered in the risk category "C" (13.0%). The main reason for the change in the status (to performing) was the collection of the entire amount due (which was the regulatory criteria for exclusion from the non-performing status until November 30, 2013). On December 1, 2013 the new Decision on credit risk management</w:t>
      </w:r>
      <w:r w:rsidR="002A11AC" w:rsidRPr="00E6388E">
        <w:rPr>
          <w:rStyle w:val="FootnoteReference"/>
          <w:rFonts w:cs="Tahoma"/>
        </w:rPr>
        <w:footnoteReference w:id="5"/>
      </w:r>
      <w:r w:rsidR="002A11AC" w:rsidRPr="00E6388E">
        <w:rPr>
          <w:rFonts w:cs="Tahoma"/>
        </w:rPr>
        <w:t xml:space="preserve"> started to be applied, according to which the criterion for exclusion from the non-performing status is the collection of claims that are past due for more than 31 days</w:t>
      </w:r>
      <w:r w:rsidR="002A11AC" w:rsidRPr="00E6388E">
        <w:rPr>
          <w:rStyle w:val="FootnoteReference"/>
          <w:rFonts w:cs="Tahoma"/>
        </w:rPr>
        <w:footnoteReference w:id="6"/>
      </w:r>
      <w:r w:rsidR="002A11AC" w:rsidRPr="00E6388E">
        <w:rPr>
          <w:rFonts w:cs="Tahoma"/>
        </w:rPr>
        <w:t>.</w:t>
      </w:r>
    </w:p>
    <w:p w:rsidR="002A11AC" w:rsidRPr="00E6388E" w:rsidRDefault="002A11AC" w:rsidP="002A11AC">
      <w:pPr>
        <w:rPr>
          <w:rFonts w:cs="Tahoma"/>
        </w:rPr>
      </w:pPr>
    </w:p>
    <w:p w:rsidR="002A11AC" w:rsidRPr="00E6388E" w:rsidRDefault="002A11AC" w:rsidP="002A11AC">
      <w:pPr>
        <w:ind w:firstLine="720"/>
        <w:rPr>
          <w:rFonts w:cs="Tahoma"/>
        </w:rPr>
      </w:pPr>
      <w:r w:rsidRPr="00E6388E">
        <w:rPr>
          <w:rFonts w:cs="Tahoma"/>
        </w:rPr>
        <w:t>The growth of non-performing loans, although slower in the second half of the year, contributed to the increase in the share of non-performing loans to total loans by 1 percentage point on an annual level, which amounted to 11.5%</w:t>
      </w:r>
      <w:r w:rsidRPr="00E6388E">
        <w:rPr>
          <w:rStyle w:val="FootnoteReference"/>
          <w:rFonts w:cs="Tahoma"/>
        </w:rPr>
        <w:footnoteReference w:id="7"/>
      </w:r>
      <w:r w:rsidRPr="00E6388E">
        <w:rPr>
          <w:rFonts w:cs="Tahoma"/>
        </w:rPr>
        <w:t xml:space="preserve"> at the end of 2013.</w:t>
      </w:r>
    </w:p>
    <w:p w:rsidR="002A11AC" w:rsidRPr="00E6388E" w:rsidRDefault="002A11AC" w:rsidP="002A11AC">
      <w:pPr>
        <w:rPr>
          <w:rFonts w:cs="Tahoma"/>
        </w:rPr>
      </w:pPr>
    </w:p>
    <w:p w:rsidR="002A11AC" w:rsidRPr="00E6388E" w:rsidRDefault="002A11AC" w:rsidP="002A11AC">
      <w:pPr>
        <w:ind w:firstLine="720"/>
        <w:rPr>
          <w:rFonts w:cs="Tahoma"/>
        </w:rPr>
      </w:pPr>
      <w:r w:rsidRPr="00E6388E">
        <w:rPr>
          <w:rFonts w:cs="Tahoma"/>
        </w:rPr>
        <w:t xml:space="preserve">The share of non-performing loans to companies in the total loans reached 15.2%. This stems from the faster increase in non-performing loans relative to the moderate increase in the credit support to companies. Considering the </w:t>
      </w:r>
      <w:r w:rsidRPr="00E6388E">
        <w:rPr>
          <w:rFonts w:cs="Tahoma"/>
        </w:rPr>
        <w:lastRenderedPageBreak/>
        <w:t>dynamics, this indicator registered an upward movement in the first half of the year amid tepid lending activity of banks, especially to the corporate sector. In contrast, in the second half of the year the share of non-performing loans recorded a slowdown as a result of the restructurings in the third quarter and increased credit support to companies in the last quarter, but also the recovery of non-performing exposures, amid intensified activity of the corporate segment. The rate of non-performing loans to households decreased due to the faster growth of total loans, amid unchanged level of non-performing loans.</w:t>
      </w:r>
    </w:p>
    <w:p w:rsidR="002A11AC" w:rsidRPr="00E6388E" w:rsidRDefault="00803610" w:rsidP="002A11AC">
      <w:pPr>
        <w:rPr>
          <w:rFonts w:cs="Tahoma"/>
        </w:rPr>
      </w:pPr>
      <w:r w:rsidRPr="00803610">
        <w:rPr>
          <w:rFonts w:cs="Tahoma"/>
          <w:noProof/>
          <w:lang w:val="mk-MK" w:eastAsia="mk-MK"/>
        </w:rPr>
        <w:pict>
          <v:shape id="_x0000_s1150" type="#_x0000_t202" style="position:absolute;left:0;text-align:left;margin-left:-223.25pt;margin-top:-181.45pt;width:213.7pt;height:21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" strokecolor="white">
            <v:textbox style="mso-next-textbox:#_x0000_s1150">
              <w:txbxContent>
                <w:p w:rsidR="00280598" w:rsidRPr="00FB0F62" w:rsidRDefault="00280598" w:rsidP="002A11AC">
                  <w:pPr>
                    <w:pStyle w:val="Caption"/>
                    <w:rPr>
                      <w:lang w:val="mk-MK"/>
                    </w:rPr>
                  </w:pPr>
                  <w:r w:rsidRPr="00FB0F62">
                    <w:t xml:space="preserve">Chart </w:t>
                  </w:r>
                  <w:fldSimple w:instr=" SEQ Графикон_бр. \* ARABIC ">
                    <w:r>
                      <w:rPr>
                        <w:noProof/>
                      </w:rPr>
                      <w:t>8</w:t>
                    </w:r>
                  </w:fldSimple>
                </w:p>
                <w:p w:rsidR="00280598" w:rsidRPr="00FB0F62" w:rsidRDefault="00280598" w:rsidP="002A11AC">
                  <w:pPr>
                    <w:pStyle w:val="Caption"/>
                  </w:pPr>
                  <w:r>
                    <w:t>Share of non-performing loans to total loans of non-financial entities and by sectors</w:t>
                  </w:r>
                </w:p>
                <w:p w:rsidR="00280598" w:rsidRPr="00FB0F62" w:rsidRDefault="00280598" w:rsidP="002A11AC">
                  <w:pPr>
                    <w:rPr>
                      <w:sz w:val="18"/>
                      <w:szCs w:val="18"/>
                    </w:rPr>
                  </w:pPr>
                  <w:r>
                    <w:rPr>
                      <w:sz w:val="18"/>
                      <w:szCs w:val="18"/>
                    </w:rPr>
                    <w:t>in %</w:t>
                  </w:r>
                </w:p>
                <w:p w:rsidR="00280598" w:rsidRPr="00901E10" w:rsidRDefault="00280598" w:rsidP="002A11AC">
                  <w:pPr>
                    <w:rPr>
                      <w:lang w:val="mk-MK"/>
                    </w:rPr>
                  </w:pPr>
                  <w:r w:rsidRPr="006E2D5A">
                    <w:rPr>
                      <w:noProof/>
                    </w:rPr>
                    <w:drawing>
                      <wp:inline distT="0" distB="0" distL="0" distR="0">
                        <wp:extent cx="2514600" cy="1571625"/>
                        <wp:effectExtent l="19050" t="0" r="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2521585" cy="1575991"/>
                                </a:xfrm>
                                <a:prstGeom prst="rect">
                                  <a:avLst/>
                                </a:prstGeom>
                                <a:noFill/>
                                <a:ln w="9525">
                                  <a:noFill/>
                                  <a:miter lim="800000"/>
                                  <a:headEnd/>
                                  <a:tailEnd/>
                                </a:ln>
                              </pic:spPr>
                            </pic:pic>
                          </a:graphicData>
                        </a:graphic>
                      </wp:inline>
                    </w:drawing>
                  </w:r>
                </w:p>
                <w:p w:rsidR="00280598" w:rsidRPr="00FB0F62" w:rsidRDefault="00280598" w:rsidP="002A11AC">
                  <w:pPr>
                    <w:rPr>
                      <w:sz w:val="18"/>
                      <w:szCs w:val="18"/>
                      <w:lang w:val="en-GB"/>
                    </w:rPr>
                  </w:pPr>
                  <w:r w:rsidRPr="00FB0F62">
                    <w:rPr>
                      <w:sz w:val="18"/>
                      <w:szCs w:val="18"/>
                    </w:rPr>
                    <w:t>Source</w:t>
                  </w:r>
                  <w:r w:rsidRPr="00FB0F62">
                    <w:rPr>
                      <w:sz w:val="18"/>
                      <w:szCs w:val="18"/>
                      <w:lang w:val="en-GB"/>
                    </w:rPr>
                    <w:t>: NBRM</w:t>
                  </w:r>
                  <w:r>
                    <w:rPr>
                      <w:sz w:val="18"/>
                      <w:szCs w:val="18"/>
                      <w:lang w:val="en-GB"/>
                    </w:rPr>
                    <w:t xml:space="preserve">, </w:t>
                  </w:r>
                  <w:r w:rsidRPr="00FB0F62">
                    <w:rPr>
                      <w:sz w:val="18"/>
                      <w:szCs w:val="18"/>
                      <w:lang w:val="en-GB"/>
                    </w:rPr>
                    <w:t>based on data submitted by banks.</w:t>
                  </w: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rPr>
                      <w:lang w:val="mk-MK"/>
                    </w:rPr>
                  </w:pPr>
                </w:p>
              </w:txbxContent>
            </v:textbox>
            <w10:wrap type="square"/>
          </v:shape>
        </w:pict>
      </w:r>
    </w:p>
    <w:p w:rsidR="002A11AC" w:rsidRPr="00E6388E" w:rsidRDefault="00803610" w:rsidP="002A11AC">
      <w:pPr>
        <w:ind w:firstLine="720"/>
        <w:rPr>
          <w:rFonts w:cs="Tahoma"/>
        </w:rPr>
      </w:pPr>
      <w:r w:rsidRPr="00803610">
        <w:rPr>
          <w:rFonts w:cs="Tahoma"/>
          <w:noProof/>
          <w:lang w:val="mk-MK" w:eastAsia="mk-MK"/>
        </w:rPr>
        <w:pict>
          <v:shape id="_x0000_s1151" type="#_x0000_t202" style="position:absolute;left:0;text-align:left;margin-left:-223.25pt;margin-top:35pt;width:213.7pt;height:22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" strokecolor="white">
            <v:textbox style="mso-next-textbox:#_x0000_s1151">
              <w:txbxContent>
                <w:p w:rsidR="00280598" w:rsidRPr="00FB0F62" w:rsidRDefault="00280598" w:rsidP="002A11AC">
                  <w:pPr>
                    <w:pStyle w:val="Caption"/>
                    <w:rPr>
                      <w:lang w:val="mk-MK"/>
                    </w:rPr>
                  </w:pPr>
                  <w:r w:rsidRPr="00FB0F62">
                    <w:t xml:space="preserve">Chart </w:t>
                  </w:r>
                  <w:fldSimple w:instr=" SEQ Графикон_бр. \* ARABIC ">
                    <w:r>
                      <w:rPr>
                        <w:noProof/>
                      </w:rPr>
                      <w:t>9</w:t>
                    </w:r>
                  </w:fldSimple>
                </w:p>
                <w:p w:rsidR="00280598" w:rsidRPr="00FB0F62" w:rsidRDefault="00280598" w:rsidP="002A11AC">
                  <w:pPr>
                    <w:pStyle w:val="Caption"/>
                  </w:pPr>
                  <w:r>
                    <w:t>Distribution of non-performing loans as of December 31, 2013, by period of approval and dynamics of banks’ lending activity</w:t>
                  </w:r>
                </w:p>
                <w:p w:rsidR="00280598" w:rsidRPr="00FB0F62" w:rsidRDefault="00280598" w:rsidP="002A11AC">
                  <w:pPr>
                    <w:rPr>
                      <w:sz w:val="18"/>
                      <w:szCs w:val="18"/>
                    </w:rPr>
                  </w:pPr>
                  <w:r>
                    <w:rPr>
                      <w:sz w:val="18"/>
                      <w:szCs w:val="18"/>
                    </w:rPr>
                    <w:t>in %</w:t>
                  </w:r>
                </w:p>
                <w:p w:rsidR="00280598" w:rsidRPr="00901E10" w:rsidRDefault="00280598" w:rsidP="002A11AC">
                  <w:pPr>
                    <w:rPr>
                      <w:lang w:val="mk-MK"/>
                    </w:rPr>
                  </w:pPr>
                  <w:r w:rsidRPr="006E2D5A">
                    <w:rPr>
                      <w:noProof/>
                    </w:rPr>
                    <w:drawing>
                      <wp:inline distT="0" distB="0" distL="0" distR="0">
                        <wp:extent cx="2466975" cy="1495425"/>
                        <wp:effectExtent l="19050" t="0" r="9525"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2464494" cy="1493921"/>
                                </a:xfrm>
                                <a:prstGeom prst="rect">
                                  <a:avLst/>
                                </a:prstGeom>
                                <a:noFill/>
                                <a:ln w="9525">
                                  <a:noFill/>
                                  <a:miter lim="800000"/>
                                  <a:headEnd/>
                                  <a:tailEnd/>
                                </a:ln>
                              </pic:spPr>
                            </pic:pic>
                          </a:graphicData>
                        </a:graphic>
                      </wp:inline>
                    </w:drawing>
                  </w:r>
                </w:p>
                <w:p w:rsidR="00280598" w:rsidRPr="00FB0F62" w:rsidRDefault="00280598" w:rsidP="002A11AC">
                  <w:pPr>
                    <w:rPr>
                      <w:sz w:val="18"/>
                      <w:szCs w:val="18"/>
                      <w:lang w:val="en-GB"/>
                    </w:rPr>
                  </w:pPr>
                  <w:r w:rsidRPr="00FB0F62">
                    <w:rPr>
                      <w:sz w:val="18"/>
                      <w:szCs w:val="18"/>
                    </w:rPr>
                    <w:t>Source</w:t>
                  </w:r>
                  <w:r w:rsidRPr="00FB0F62">
                    <w:rPr>
                      <w:sz w:val="18"/>
                      <w:szCs w:val="18"/>
                      <w:lang w:val="en-GB"/>
                    </w:rPr>
                    <w:t>: NBRM</w:t>
                  </w:r>
                  <w:r>
                    <w:rPr>
                      <w:sz w:val="18"/>
                      <w:szCs w:val="18"/>
                      <w:lang w:val="en-GB"/>
                    </w:rPr>
                    <w:t xml:space="preserve">’s Credit Registry, </w:t>
                  </w:r>
                  <w:r w:rsidRPr="00FB0F62">
                    <w:rPr>
                      <w:sz w:val="18"/>
                      <w:szCs w:val="18"/>
                      <w:lang w:val="en-GB"/>
                    </w:rPr>
                    <w:t>based on data submitted by banks.</w:t>
                  </w: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rPr>
                      <w:lang w:val="mk-MK"/>
                    </w:rPr>
                  </w:pPr>
                </w:p>
              </w:txbxContent>
            </v:textbox>
            <w10:wrap type="square"/>
          </v:shape>
        </w:pict>
      </w:r>
      <w:r w:rsidR="002A11AC" w:rsidRPr="00E6388E">
        <w:rPr>
          <w:rFonts w:cs="Tahoma"/>
        </w:rPr>
        <w:t>According to the approval period, 2.3% of total non-performing loans as of December 31, 2013 were approved during 2013. Most of the non-performing loans approved in 2013 were to the corporate sector</w:t>
      </w:r>
      <w:r w:rsidR="002A11AC" w:rsidRPr="00E6388E">
        <w:rPr>
          <w:rStyle w:val="FootnoteReference"/>
          <w:rFonts w:cs="Tahoma"/>
        </w:rPr>
        <w:footnoteReference w:id="8"/>
      </w:r>
      <w:r w:rsidR="002A11AC" w:rsidRPr="00E6388E">
        <w:rPr>
          <w:rFonts w:cs="Tahoma"/>
        </w:rPr>
        <w:t xml:space="preserve"> mainly to customers from "wholesale and retail trade" and "manufacturing". As of December 31, 2013, almost half of the non-performing loans had been approved until 2006.</w:t>
      </w:r>
    </w:p>
    <w:p w:rsidR="002A11AC" w:rsidRPr="00E6388E" w:rsidRDefault="002A11AC" w:rsidP="002A11AC">
      <w:pPr>
        <w:rPr>
          <w:rFonts w:cs="Tahoma"/>
        </w:rPr>
      </w:pPr>
    </w:p>
    <w:p w:rsidR="002A11AC" w:rsidRPr="00E6388E" w:rsidRDefault="002A11AC" w:rsidP="002A11AC">
      <w:pPr>
        <w:ind w:firstLine="720"/>
        <w:rPr>
          <w:rFonts w:cs="Tahoma"/>
        </w:rPr>
      </w:pPr>
      <w:r w:rsidRPr="00E6388E">
        <w:rPr>
          <w:rFonts w:cs="Tahoma"/>
        </w:rPr>
        <w:t>The growth of non-performing loans was accompanied by slower annual growth of banks' total impairment in the amount of Denar 2,778 million or 10.4%. Considering the dynamics, this growth stems entirely from the first half of the year, it slowed down in the third quarter, and in the last quarter of 2013, following the entry into force of the new Decision on the credit risk management on 1 December, it registered a downward movement</w:t>
      </w:r>
      <w:r w:rsidRPr="00E6388E">
        <w:rPr>
          <w:rStyle w:val="FootnoteReference"/>
          <w:rFonts w:cs="Tahoma"/>
        </w:rPr>
        <w:footnoteReference w:id="9"/>
      </w:r>
      <w:r w:rsidRPr="00E6388E">
        <w:rPr>
          <w:rFonts w:cs="Tahoma"/>
        </w:rPr>
        <w:t xml:space="preserve">. Thus as of December 31, 2013, the total impairment decreased by Denar 569 million or 1.9% compared to November 30, 2013, as a result of the impairment in the activities "wholesale and retail trade", "chemical industry" and "activities related to real estate" in the corporate sector, and residential and consumer loans and credit cards in the household sector. The reduction of impairment arises in large part from the downward adjustment of the limits for determining impairment and special </w:t>
      </w:r>
      <w:r w:rsidRPr="00E6388E">
        <w:rPr>
          <w:rFonts w:cs="Tahoma"/>
        </w:rPr>
        <w:lastRenderedPageBreak/>
        <w:t xml:space="preserve">reserve for individual exposures in each risk category, according to the new Decision, and the collection and the reclassification of certain credit exposures to better risk category. </w:t>
      </w:r>
    </w:p>
    <w:p w:rsidR="002A11AC" w:rsidRPr="00E6388E" w:rsidRDefault="002A11AC" w:rsidP="002A11AC">
      <w:pPr>
        <w:rPr>
          <w:rFonts w:cs="Tahoma"/>
        </w:rPr>
      </w:pPr>
    </w:p>
    <w:p w:rsidR="002A11AC" w:rsidRPr="00E6388E" w:rsidRDefault="00803610" w:rsidP="002A11AC">
      <w:pPr>
        <w:rPr>
          <w:rFonts w:cs="Tahoma"/>
        </w:rPr>
      </w:pPr>
      <w:r w:rsidRPr="00803610">
        <w:rPr>
          <w:rFonts w:cs="Tahoma"/>
          <w:noProof/>
          <w:lang w:val="mk-MK" w:eastAsia="mk-MK"/>
        </w:rPr>
        <w:pict>
          <v:shape id="_x0000_s1152" type="#_x0000_t202" style="position:absolute;left:0;text-align:left;margin-left:-224.75pt;margin-top:312.55pt;width:213.7pt;height:254.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" strokecolor="white">
            <v:textbox style="mso-next-textbox:#_x0000_s1152">
              <w:txbxContent>
                <w:p w:rsidR="00280598" w:rsidRPr="00FB0F62" w:rsidRDefault="00280598" w:rsidP="002A11AC">
                  <w:pPr>
                    <w:pStyle w:val="Caption"/>
                    <w:rPr>
                      <w:lang w:val="mk-MK"/>
                    </w:rPr>
                  </w:pPr>
                  <w:r w:rsidRPr="00FB0F62">
                    <w:t xml:space="preserve">Chart </w:t>
                  </w:r>
                  <w:fldSimple w:instr=" SEQ Графикон_бр. \* ARABIC ">
                    <w:r>
                      <w:rPr>
                        <w:noProof/>
                      </w:rPr>
                      <w:t>10</w:t>
                    </w:r>
                  </w:fldSimple>
                </w:p>
                <w:p w:rsidR="00280598" w:rsidRPr="00FB0F62" w:rsidRDefault="00280598" w:rsidP="002A11AC">
                  <w:pPr>
                    <w:pStyle w:val="Caption"/>
                  </w:pPr>
                  <w:r>
                    <w:t>Coverage of non-performing loans and share of non-performing loans in banks’ own funds</w:t>
                  </w:r>
                </w:p>
                <w:p w:rsidR="00280598" w:rsidRPr="00FB0F62" w:rsidRDefault="00280598" w:rsidP="002A11AC">
                  <w:pPr>
                    <w:rPr>
                      <w:sz w:val="18"/>
                      <w:szCs w:val="18"/>
                    </w:rPr>
                  </w:pPr>
                  <w:r>
                    <w:rPr>
                      <w:sz w:val="18"/>
                      <w:szCs w:val="18"/>
                    </w:rPr>
                    <w:t>in %</w:t>
                  </w:r>
                </w:p>
                <w:p w:rsidR="00280598" w:rsidRPr="00901E10" w:rsidRDefault="00280598" w:rsidP="002A11AC">
                  <w:pPr>
                    <w:rPr>
                      <w:lang w:val="mk-MK"/>
                    </w:rPr>
                  </w:pPr>
                  <w:r w:rsidRPr="00E048A8">
                    <w:rPr>
                      <w:noProof/>
                    </w:rPr>
                    <w:drawing>
                      <wp:inline distT="0" distB="0" distL="0" distR="0">
                        <wp:extent cx="2514600" cy="2000250"/>
                        <wp:effectExtent l="19050" t="0" r="0"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2521585" cy="2005806"/>
                                </a:xfrm>
                                <a:prstGeom prst="rect">
                                  <a:avLst/>
                                </a:prstGeom>
                                <a:noFill/>
                                <a:ln w="9525">
                                  <a:noFill/>
                                  <a:miter lim="800000"/>
                                  <a:headEnd/>
                                  <a:tailEnd/>
                                </a:ln>
                              </pic:spPr>
                            </pic:pic>
                          </a:graphicData>
                        </a:graphic>
                      </wp:inline>
                    </w:drawing>
                  </w:r>
                </w:p>
                <w:p w:rsidR="00280598" w:rsidRPr="00FB0F62" w:rsidRDefault="00280598" w:rsidP="002A11AC">
                  <w:pPr>
                    <w:rPr>
                      <w:sz w:val="18"/>
                      <w:szCs w:val="18"/>
                      <w:lang w:val="en-GB"/>
                    </w:rPr>
                  </w:pPr>
                  <w:r w:rsidRPr="00FB0F62">
                    <w:rPr>
                      <w:sz w:val="18"/>
                      <w:szCs w:val="18"/>
                    </w:rPr>
                    <w:t>Source</w:t>
                  </w:r>
                  <w:r w:rsidRPr="00FB0F62">
                    <w:rPr>
                      <w:sz w:val="18"/>
                      <w:szCs w:val="18"/>
                      <w:lang w:val="en-GB"/>
                    </w:rPr>
                    <w:t>: NBRM</w:t>
                  </w:r>
                  <w:r>
                    <w:rPr>
                      <w:sz w:val="18"/>
                      <w:szCs w:val="18"/>
                      <w:lang w:val="en-GB"/>
                    </w:rPr>
                    <w:t xml:space="preserve">, </w:t>
                  </w:r>
                  <w:r w:rsidRPr="00FB0F62">
                    <w:rPr>
                      <w:sz w:val="18"/>
                      <w:szCs w:val="18"/>
                      <w:lang w:val="en-GB"/>
                    </w:rPr>
                    <w:t>based on data submitted by banks.</w:t>
                  </w: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rPr>
                      <w:lang w:val="mk-MK"/>
                    </w:rPr>
                  </w:pPr>
                </w:p>
              </w:txbxContent>
            </v:textbox>
            <w10:wrap type="square"/>
          </v:shape>
        </w:pict>
      </w:r>
      <w:r w:rsidR="002A11AC" w:rsidRPr="00E6388E">
        <w:rPr>
          <w:rFonts w:cs="Tahoma"/>
        </w:rPr>
        <w:tab/>
        <w:t>As of December 31, 2013, only 5.2% of the total credit exposure of the banking system was classified on a group basis, and only 0.7% of the total impairment and special reserve were determined on a group basis. At the end of 2012, almost three times as much, or 16.8% of total credit exposure and 2.1% of the total impairment and special reserve were classified and determined on a group basis. The regulation on the credit risk management, which was applied until the end of November 2013, did not contain detailed provisions on how to determine the impairment on a group basis. The new Decision (which is being applied as of December 1, 2013) prescribes the method of determining the impairment and special reserve (by using the rates of expected loss) for each loan portfolio. The non-compliance of banks' systems with the deadlines for the start of the application of the Decision or the higher amount of impairment that arises from the new provisions are likely explanations for leaving the possibility of making classifications on a group basis by some banks. Impairment on a group basis covers only 1.1% of the credit exposure classified on a group basis, while the average level of risk of the performing exposure classified on an individual basis is 2.2%.</w:t>
      </w:r>
    </w:p>
    <w:p w:rsidR="002A11AC" w:rsidRPr="00E6388E" w:rsidRDefault="002A11AC" w:rsidP="002A11AC">
      <w:pPr>
        <w:rPr>
          <w:rFonts w:cs="Tahoma"/>
        </w:rPr>
      </w:pPr>
    </w:p>
    <w:p w:rsidR="002A11AC" w:rsidRPr="00E6388E" w:rsidRDefault="002A11AC" w:rsidP="002A11AC">
      <w:pPr>
        <w:ind w:firstLine="720"/>
        <w:rPr>
          <w:rFonts w:cs="Tahoma"/>
        </w:rPr>
      </w:pPr>
      <w:r w:rsidRPr="00E6388E">
        <w:rPr>
          <w:rFonts w:cs="Tahoma"/>
        </w:rPr>
        <w:t xml:space="preserve">The faster growth of non-performing loans compared to the growth of impairment caused a reduction in the coverage of non-performing loans with total impairment, but it still exceeds 100%. In contrast, as of December 31, 2013 the coverage of non-performing loans only with their impairment increased to 80.1% (79.0% as of December 31, 2012). Beside the growth of non-performing loans, the increase in the impairment of non-performing loans was induced by the new rule for determining impairment of at least 30% for non-performing claims classified in risk category "C", which applies from December 1, 2013. Thus, as of December 31, 2013, the coverage of non-performing loans in the risk </w:t>
      </w:r>
      <w:r w:rsidRPr="00E6388E">
        <w:rPr>
          <w:rFonts w:cs="Tahoma"/>
        </w:rPr>
        <w:lastRenderedPageBreak/>
        <w:t>category "C" only with their impairment reached 32.2% (28.3% as of December 31, 2012</w:t>
      </w:r>
      <w:r w:rsidRPr="00E6388E">
        <w:rPr>
          <w:rStyle w:val="FootnoteReference"/>
          <w:rFonts w:cs="Tahoma"/>
        </w:rPr>
        <w:footnoteReference w:id="10"/>
      </w:r>
      <w:r w:rsidRPr="00E6388E">
        <w:rPr>
          <w:rFonts w:cs="Tahoma"/>
        </w:rPr>
        <w:t>).</w:t>
      </w:r>
    </w:p>
    <w:p w:rsidR="002A11AC" w:rsidRPr="00E6388E" w:rsidRDefault="002A11AC" w:rsidP="002A11AC">
      <w:pPr>
        <w:rPr>
          <w:rFonts w:cs="Tahoma"/>
        </w:rPr>
      </w:pPr>
    </w:p>
    <w:p w:rsidR="002A11AC" w:rsidRPr="00E6388E" w:rsidRDefault="00803610" w:rsidP="002A11AC">
      <w:pPr>
        <w:ind w:firstLine="720"/>
        <w:rPr>
          <w:rFonts w:cs="Tahoma"/>
        </w:rPr>
      </w:pPr>
      <w:r w:rsidRPr="00803610">
        <w:rPr>
          <w:rFonts w:cs="Tahoma"/>
          <w:noProof/>
          <w:lang w:val="mk-MK" w:eastAsia="mk-MK"/>
        </w:rPr>
        <w:pict>
          <v:shape id="_x0000_s1153" type="#_x0000_t202" style="position:absolute;left:0;text-align:left;margin-left:-225pt;margin-top:4.6pt;width:213.7pt;height:221.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" strokecolor="white">
            <v:textbox style="mso-next-textbox:#_x0000_s1153">
              <w:txbxContent>
                <w:p w:rsidR="00280598" w:rsidRPr="00FB0F62" w:rsidRDefault="00280598" w:rsidP="002A11AC">
                  <w:pPr>
                    <w:pStyle w:val="Caption"/>
                    <w:tabs>
                      <w:tab w:val="left" w:pos="0"/>
                    </w:tabs>
                    <w:rPr>
                      <w:lang w:val="mk-MK"/>
                    </w:rPr>
                  </w:pPr>
                  <w:r w:rsidRPr="00FB0F62">
                    <w:t xml:space="preserve">Chart </w:t>
                  </w:r>
                  <w:fldSimple w:instr=" SEQ Графикон_бр. \* ARABIC ">
                    <w:r>
                      <w:rPr>
                        <w:noProof/>
                      </w:rPr>
                      <w:t>11</w:t>
                    </w:r>
                  </w:fldSimple>
                </w:p>
                <w:p w:rsidR="00280598" w:rsidRPr="00FB0F62" w:rsidRDefault="00280598" w:rsidP="002A11AC">
                  <w:pPr>
                    <w:pStyle w:val="Caption"/>
                    <w:tabs>
                      <w:tab w:val="left" w:pos="0"/>
                    </w:tabs>
                  </w:pPr>
                  <w:r>
                    <w:t>Share of non-performing loans, net of their calculated impairment, in banks’ own funds, by country</w:t>
                  </w:r>
                </w:p>
                <w:p w:rsidR="00280598" w:rsidRPr="00FB0F62" w:rsidRDefault="00280598" w:rsidP="002A11AC">
                  <w:pPr>
                    <w:tabs>
                      <w:tab w:val="left" w:pos="0"/>
                    </w:tabs>
                    <w:rPr>
                      <w:sz w:val="18"/>
                      <w:szCs w:val="18"/>
                    </w:rPr>
                  </w:pPr>
                  <w:r>
                    <w:rPr>
                      <w:sz w:val="18"/>
                      <w:szCs w:val="18"/>
                    </w:rPr>
                    <w:t>in %</w:t>
                  </w:r>
                </w:p>
                <w:p w:rsidR="00280598" w:rsidRPr="00901E10" w:rsidRDefault="00280598" w:rsidP="002A11AC">
                  <w:pPr>
                    <w:tabs>
                      <w:tab w:val="left" w:pos="0"/>
                    </w:tabs>
                    <w:rPr>
                      <w:lang w:val="mk-MK"/>
                    </w:rPr>
                  </w:pPr>
                  <w:r w:rsidRPr="006139DE">
                    <w:rPr>
                      <w:noProof/>
                    </w:rPr>
                    <w:drawing>
                      <wp:inline distT="0" distB="0" distL="0" distR="0">
                        <wp:extent cx="2514600" cy="1609725"/>
                        <wp:effectExtent l="19050" t="0" r="0" b="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2512070" cy="1608105"/>
                                </a:xfrm>
                                <a:prstGeom prst="rect">
                                  <a:avLst/>
                                </a:prstGeom>
                                <a:noFill/>
                                <a:ln w="9525">
                                  <a:noFill/>
                                  <a:miter lim="800000"/>
                                  <a:headEnd/>
                                  <a:tailEnd/>
                                </a:ln>
                              </pic:spPr>
                            </pic:pic>
                          </a:graphicData>
                        </a:graphic>
                      </wp:inline>
                    </w:drawing>
                  </w:r>
                </w:p>
                <w:p w:rsidR="00280598" w:rsidRPr="00FB0F62" w:rsidRDefault="00280598" w:rsidP="002A11AC">
                  <w:pPr>
                    <w:tabs>
                      <w:tab w:val="left" w:pos="0"/>
                    </w:tabs>
                    <w:rPr>
                      <w:sz w:val="18"/>
                      <w:szCs w:val="18"/>
                      <w:lang w:val="en-GB"/>
                    </w:rPr>
                  </w:pPr>
                  <w:r w:rsidRPr="00FB0F62">
                    <w:rPr>
                      <w:sz w:val="18"/>
                      <w:szCs w:val="18"/>
                    </w:rPr>
                    <w:t>Source</w:t>
                  </w:r>
                  <w:r w:rsidRPr="00FB0F62">
                    <w:rPr>
                      <w:sz w:val="18"/>
                      <w:szCs w:val="18"/>
                      <w:lang w:val="en-GB"/>
                    </w:rPr>
                    <w:t xml:space="preserve">: </w:t>
                  </w:r>
                  <w:r>
                    <w:rPr>
                      <w:sz w:val="18"/>
                      <w:szCs w:val="18"/>
                      <w:lang w:val="en-GB"/>
                    </w:rPr>
                    <w:t>IMF’s database on financial soundness indicators.</w:t>
                  </w:r>
                </w:p>
                <w:p w:rsidR="00280598" w:rsidRPr="00D20DE0" w:rsidRDefault="00280598" w:rsidP="002A11AC">
                  <w:pPr>
                    <w:pStyle w:val="Caption"/>
                    <w:tabs>
                      <w:tab w:val="left" w:pos="0"/>
                    </w:tabs>
                    <w:rPr>
                      <w:b w:val="0"/>
                      <w:sz w:val="18"/>
                      <w:szCs w:val="18"/>
                    </w:rPr>
                  </w:pPr>
                </w:p>
                <w:p w:rsidR="00280598" w:rsidRPr="00D20DE0" w:rsidRDefault="00280598" w:rsidP="002A11AC">
                  <w:pPr>
                    <w:pStyle w:val="Caption"/>
                    <w:tabs>
                      <w:tab w:val="left" w:pos="0"/>
                    </w:tabs>
                    <w:rPr>
                      <w:b w:val="0"/>
                      <w:sz w:val="18"/>
                      <w:szCs w:val="18"/>
                    </w:rPr>
                  </w:pPr>
                </w:p>
                <w:p w:rsidR="00280598" w:rsidRPr="00D20DE0" w:rsidRDefault="00280598" w:rsidP="002A11AC">
                  <w:pPr>
                    <w:pStyle w:val="Caption"/>
                    <w:tabs>
                      <w:tab w:val="left" w:pos="0"/>
                    </w:tabs>
                    <w:rPr>
                      <w:b w:val="0"/>
                      <w:sz w:val="18"/>
                      <w:szCs w:val="18"/>
                    </w:rPr>
                  </w:pPr>
                </w:p>
                <w:p w:rsidR="00280598" w:rsidRPr="00D20DE0" w:rsidRDefault="00280598" w:rsidP="002A11AC">
                  <w:pPr>
                    <w:pStyle w:val="Caption"/>
                    <w:tabs>
                      <w:tab w:val="left" w:pos="0"/>
                    </w:tabs>
                    <w:rPr>
                      <w:b w:val="0"/>
                      <w:sz w:val="18"/>
                      <w:szCs w:val="18"/>
                    </w:rPr>
                  </w:pPr>
                </w:p>
                <w:p w:rsidR="00280598" w:rsidRPr="00D20DE0" w:rsidRDefault="00280598" w:rsidP="002A11AC">
                  <w:pPr>
                    <w:pStyle w:val="Caption"/>
                    <w:tabs>
                      <w:tab w:val="left" w:pos="0"/>
                    </w:tabs>
                    <w:rPr>
                      <w:b w:val="0"/>
                      <w:sz w:val="18"/>
                      <w:szCs w:val="18"/>
                    </w:rPr>
                  </w:pPr>
                </w:p>
                <w:p w:rsidR="00280598" w:rsidRPr="00D20DE0" w:rsidRDefault="00280598" w:rsidP="002A11AC">
                  <w:pPr>
                    <w:pStyle w:val="Caption"/>
                    <w:tabs>
                      <w:tab w:val="left" w:pos="0"/>
                    </w:tabs>
                    <w:rPr>
                      <w:b w:val="0"/>
                      <w:sz w:val="18"/>
                      <w:szCs w:val="18"/>
                    </w:rPr>
                  </w:pPr>
                </w:p>
                <w:p w:rsidR="00280598" w:rsidRPr="00D20DE0" w:rsidRDefault="00280598" w:rsidP="002A11AC">
                  <w:pPr>
                    <w:pStyle w:val="Caption"/>
                    <w:tabs>
                      <w:tab w:val="left" w:pos="0"/>
                    </w:tabs>
                    <w:rPr>
                      <w:b w:val="0"/>
                      <w:sz w:val="18"/>
                      <w:szCs w:val="18"/>
                    </w:rPr>
                  </w:pPr>
                </w:p>
                <w:p w:rsidR="00280598" w:rsidRPr="00D20DE0" w:rsidRDefault="00280598" w:rsidP="002A11AC">
                  <w:pPr>
                    <w:pStyle w:val="Caption"/>
                    <w:tabs>
                      <w:tab w:val="left" w:pos="0"/>
                    </w:tabs>
                    <w:rPr>
                      <w:b w:val="0"/>
                      <w:sz w:val="18"/>
                      <w:szCs w:val="18"/>
                    </w:rPr>
                  </w:pPr>
                </w:p>
                <w:p w:rsidR="00280598" w:rsidRPr="00D20DE0" w:rsidRDefault="00280598" w:rsidP="002A11AC">
                  <w:pPr>
                    <w:pStyle w:val="Caption"/>
                    <w:tabs>
                      <w:tab w:val="left" w:pos="0"/>
                    </w:tabs>
                    <w:rPr>
                      <w:b w:val="0"/>
                      <w:sz w:val="18"/>
                      <w:szCs w:val="18"/>
                    </w:rPr>
                  </w:pPr>
                </w:p>
                <w:p w:rsidR="00280598" w:rsidRPr="00D20DE0" w:rsidRDefault="00280598" w:rsidP="002A11AC">
                  <w:pPr>
                    <w:pStyle w:val="Caption"/>
                    <w:tabs>
                      <w:tab w:val="left" w:pos="0"/>
                    </w:tabs>
                    <w:rPr>
                      <w:b w:val="0"/>
                      <w:sz w:val="18"/>
                      <w:szCs w:val="18"/>
                    </w:rPr>
                  </w:pPr>
                </w:p>
                <w:p w:rsidR="00280598" w:rsidRPr="00D20DE0" w:rsidRDefault="00280598" w:rsidP="002A11AC">
                  <w:pPr>
                    <w:tabs>
                      <w:tab w:val="left" w:pos="0"/>
                    </w:tabs>
                    <w:rPr>
                      <w:lang w:val="mk-MK"/>
                    </w:rPr>
                  </w:pPr>
                </w:p>
              </w:txbxContent>
            </v:textbox>
            <w10:wrap type="square"/>
          </v:shape>
        </w:pict>
      </w:r>
      <w:r w:rsidR="002A11AC" w:rsidRPr="00E6388E">
        <w:rPr>
          <w:rFonts w:cs="Tahoma"/>
        </w:rPr>
        <w:t>The share of the unprovisioned part of the non-performing loans to total own funds of the banking system increased, due to the minor downward movement of the own funds, but it is still low. Thus, in case of hypothetical complete default of non-performing loans, at the end of 2013, own funds would have decreased by 11.6% (0.9 percentage points more compared with the assumed reduction of 10.7% as of December 31, 2012).</w:t>
      </w:r>
    </w:p>
    <w:p w:rsidR="002A11AC" w:rsidRPr="00E6388E" w:rsidRDefault="002A11AC" w:rsidP="002A11AC">
      <w:pPr>
        <w:rPr>
          <w:rFonts w:cs="Tahoma"/>
        </w:rPr>
      </w:pPr>
    </w:p>
    <w:p w:rsidR="002A11AC" w:rsidRPr="00E6388E" w:rsidRDefault="002A11AC" w:rsidP="002A11AC">
      <w:pPr>
        <w:ind w:firstLine="720"/>
        <w:rPr>
          <w:rFonts w:cs="Tahoma"/>
        </w:rPr>
      </w:pPr>
      <w:r w:rsidRPr="00E6388E">
        <w:rPr>
          <w:rFonts w:cs="Tahoma"/>
        </w:rPr>
        <w:t>Compared with some of our neighboring countries and beyond, this indicator for the banking system of the Republic of Macedonia is significantly more favorable (lower). The lowest level of this indicator was registered in Turkey, where the coverage of non-performing loans would require only 3.2% of the banking system's own funds. The unprovisioned part of the non-performing loans increased in most countries, and in some countries the unprovisioned part of the non-performing loans absorbs a significant portion of banks' own funds.</w:t>
      </w:r>
    </w:p>
    <w:p w:rsidR="002A11AC" w:rsidRPr="00E6388E" w:rsidRDefault="002A11AC" w:rsidP="002A11AC">
      <w:pPr>
        <w:rPr>
          <w:rFonts w:cs="Tahoma"/>
        </w:rPr>
      </w:pPr>
    </w:p>
    <w:p w:rsidR="002A11AC" w:rsidRPr="00E6388E" w:rsidRDefault="00803610" w:rsidP="002A11AC">
      <w:pPr>
        <w:ind w:firstLine="720"/>
        <w:rPr>
          <w:rFonts w:cs="Tahoma"/>
        </w:rPr>
      </w:pPr>
      <w:r w:rsidRPr="00803610">
        <w:rPr>
          <w:rFonts w:cs="Tahoma"/>
          <w:noProof/>
          <w:lang w:val="mk-MK" w:eastAsia="mk-MK"/>
        </w:rPr>
        <w:pict>
          <v:shape id="_x0000_s1154" type="#_x0000_t202" style="position:absolute;left:0;text-align:left;margin-left:-221.25pt;margin-top:4.7pt;width:213.7pt;height:21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" strokecolor="white">
            <v:textbox style="mso-next-textbox:#_x0000_s1154">
              <w:txbxContent>
                <w:p w:rsidR="00280598" w:rsidRPr="00FB0F62" w:rsidRDefault="00280598" w:rsidP="002A11AC">
                  <w:pPr>
                    <w:pStyle w:val="Caption"/>
                    <w:rPr>
                      <w:lang w:val="mk-MK"/>
                    </w:rPr>
                  </w:pPr>
                  <w:r w:rsidRPr="00FB0F62">
                    <w:t xml:space="preserve">Chart </w:t>
                  </w:r>
                  <w:fldSimple w:instr=" SEQ Графикон_бр. \* ARABIC ">
                    <w:r>
                      <w:rPr>
                        <w:noProof/>
                      </w:rPr>
                      <w:t>12</w:t>
                    </w:r>
                  </w:fldSimple>
                </w:p>
                <w:p w:rsidR="00280598" w:rsidRPr="00FB0F62" w:rsidRDefault="00280598" w:rsidP="002A11AC">
                  <w:pPr>
                    <w:pStyle w:val="Caption"/>
                  </w:pPr>
                  <w:r>
                    <w:t>Average risk level for the total credit exposure and for regular loans</w:t>
                  </w:r>
                </w:p>
                <w:p w:rsidR="00280598" w:rsidRPr="00FB0F62" w:rsidRDefault="00280598" w:rsidP="002A11AC">
                  <w:pPr>
                    <w:rPr>
                      <w:sz w:val="18"/>
                      <w:szCs w:val="18"/>
                    </w:rPr>
                  </w:pPr>
                  <w:r>
                    <w:rPr>
                      <w:sz w:val="18"/>
                      <w:szCs w:val="18"/>
                    </w:rPr>
                    <w:t>in %</w:t>
                  </w:r>
                </w:p>
                <w:p w:rsidR="00280598" w:rsidRPr="00901E10" w:rsidRDefault="00280598" w:rsidP="002A11AC">
                  <w:pPr>
                    <w:rPr>
                      <w:lang w:val="mk-MK"/>
                    </w:rPr>
                  </w:pPr>
                  <w:r w:rsidRPr="00CA0E9C">
                    <w:rPr>
                      <w:noProof/>
                    </w:rPr>
                    <w:drawing>
                      <wp:inline distT="0" distB="0" distL="0" distR="0">
                        <wp:extent cx="2521585" cy="1642182"/>
                        <wp:effectExtent l="19050" t="0" r="0" b="0"/>
                        <wp:docPr id="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2521585" cy="1642182"/>
                                </a:xfrm>
                                <a:prstGeom prst="rect">
                                  <a:avLst/>
                                </a:prstGeom>
                                <a:noFill/>
                                <a:ln w="9525">
                                  <a:noFill/>
                                  <a:miter lim="800000"/>
                                  <a:headEnd/>
                                  <a:tailEnd/>
                                </a:ln>
                              </pic:spPr>
                            </pic:pic>
                          </a:graphicData>
                        </a:graphic>
                      </wp:inline>
                    </w:drawing>
                  </w:r>
                </w:p>
                <w:p w:rsidR="00280598" w:rsidRPr="00FB0F62" w:rsidRDefault="00280598" w:rsidP="002A11AC">
                  <w:pPr>
                    <w:rPr>
                      <w:sz w:val="18"/>
                      <w:szCs w:val="18"/>
                      <w:lang w:val="en-GB"/>
                    </w:rPr>
                  </w:pPr>
                  <w:r w:rsidRPr="00FB0F62">
                    <w:rPr>
                      <w:sz w:val="18"/>
                      <w:szCs w:val="18"/>
                    </w:rPr>
                    <w:t>Source</w:t>
                  </w:r>
                  <w:r w:rsidRPr="00FB0F62">
                    <w:rPr>
                      <w:sz w:val="18"/>
                      <w:szCs w:val="18"/>
                      <w:lang w:val="en-GB"/>
                    </w:rPr>
                    <w:t>: NBRM</w:t>
                  </w:r>
                  <w:r>
                    <w:rPr>
                      <w:sz w:val="18"/>
                      <w:szCs w:val="18"/>
                      <w:lang w:val="en-GB"/>
                    </w:rPr>
                    <w:t xml:space="preserve">’s Credit Registry, </w:t>
                  </w:r>
                  <w:r w:rsidRPr="00FB0F62">
                    <w:rPr>
                      <w:sz w:val="18"/>
                      <w:szCs w:val="18"/>
                      <w:lang w:val="en-GB"/>
                    </w:rPr>
                    <w:t>based on data submitted by banks.</w:t>
                  </w: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rPr>
                      <w:lang w:val="mk-MK"/>
                    </w:rPr>
                  </w:pPr>
                </w:p>
              </w:txbxContent>
            </v:textbox>
            <w10:wrap type="square"/>
          </v:shape>
        </w:pict>
      </w:r>
      <w:r w:rsidR="002A11AC" w:rsidRPr="00E6388E">
        <w:rPr>
          <w:rFonts w:cs="Tahoma"/>
        </w:rPr>
        <w:t>In 2013, as a result of the higher growth of the impairment compared to the growth of the total credit exposure, the average level of risk in the loan portfolio of the banking system increased by 0.3 percentage points. Given the lowered limits for impairment by individual risk categories, which were introduced with the new regulations from December 1, 2013, the average risk level of the banks' portfolio at the end of 2013, is in risk category "B" (risk category "A" under the previous legislation). The average risk of performing loans decreased because of the annual decline in their impairment (by Denar 299 million, or 4.6%), also as an effect of the lowered limit of impairment for individual risk categories.</w:t>
      </w:r>
    </w:p>
    <w:p w:rsidR="002A11AC" w:rsidRPr="00E6388E" w:rsidRDefault="002A11AC" w:rsidP="002A11AC">
      <w:pPr>
        <w:rPr>
          <w:rFonts w:cs="Tahoma"/>
        </w:rPr>
      </w:pPr>
    </w:p>
    <w:p w:rsidR="002A11AC" w:rsidRPr="00E6388E" w:rsidRDefault="00803610" w:rsidP="002A11AC">
      <w:pPr>
        <w:ind w:firstLine="720"/>
        <w:rPr>
          <w:rFonts w:cs="Tahoma"/>
        </w:rPr>
      </w:pPr>
      <w:r w:rsidRPr="00803610">
        <w:rPr>
          <w:rFonts w:cs="Tahoma"/>
          <w:noProof/>
          <w:lang w:val="mk-MK" w:eastAsia="mk-MK"/>
        </w:rPr>
        <w:lastRenderedPageBreak/>
        <w:pict>
          <v:shape id="_x0000_s1155" type="#_x0000_t202" style="position:absolute;left:0;text-align:left;margin-left:-224.25pt;margin-top:2.4pt;width:213.7pt;height:213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" strokecolor="white">
            <v:textbox style="mso-next-textbox:#_x0000_s1155">
              <w:txbxContent>
                <w:p w:rsidR="00280598" w:rsidRPr="00FB0F62" w:rsidRDefault="00280598" w:rsidP="002A11AC">
                  <w:pPr>
                    <w:pStyle w:val="Caption"/>
                    <w:rPr>
                      <w:lang w:val="mk-MK"/>
                    </w:rPr>
                  </w:pPr>
                  <w:r w:rsidRPr="00FB0F62">
                    <w:t xml:space="preserve">Chart </w:t>
                  </w:r>
                  <w:fldSimple w:instr=" SEQ Графикон_бр. \* ARABIC ">
                    <w:r>
                      <w:rPr>
                        <w:noProof/>
                      </w:rPr>
                      <w:t>13</w:t>
                    </w:r>
                  </w:fldSimple>
                </w:p>
                <w:p w:rsidR="00280598" w:rsidRPr="00FB0F62" w:rsidRDefault="00280598" w:rsidP="002A11AC">
                  <w:pPr>
                    <w:pStyle w:val="Caption"/>
                  </w:pPr>
                  <w:r>
                    <w:t>Average risk level for loans with due part of 61 to 90 days</w:t>
                  </w:r>
                </w:p>
                <w:p w:rsidR="00280598" w:rsidRPr="00FB0F62" w:rsidRDefault="00280598" w:rsidP="002A11AC">
                  <w:pPr>
                    <w:rPr>
                      <w:sz w:val="18"/>
                      <w:szCs w:val="18"/>
                    </w:rPr>
                  </w:pPr>
                  <w:r>
                    <w:rPr>
                      <w:sz w:val="18"/>
                      <w:szCs w:val="18"/>
                    </w:rPr>
                    <w:t>in %</w:t>
                  </w:r>
                </w:p>
                <w:p w:rsidR="00280598" w:rsidRPr="00901E10" w:rsidRDefault="00280598" w:rsidP="002A11AC">
                  <w:pPr>
                    <w:rPr>
                      <w:lang w:val="mk-MK"/>
                    </w:rPr>
                  </w:pPr>
                  <w:r w:rsidRPr="00CA0E9C">
                    <w:rPr>
                      <w:noProof/>
                    </w:rPr>
                    <w:drawing>
                      <wp:inline distT="0" distB="0" distL="0" distR="0">
                        <wp:extent cx="2476500" cy="1711907"/>
                        <wp:effectExtent l="19050" t="0" r="0" b="0"/>
                        <wp:docPr id="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2474008" cy="1710184"/>
                                </a:xfrm>
                                <a:prstGeom prst="rect">
                                  <a:avLst/>
                                </a:prstGeom>
                                <a:noFill/>
                                <a:ln w="9525">
                                  <a:noFill/>
                                  <a:miter lim="800000"/>
                                  <a:headEnd/>
                                  <a:tailEnd/>
                                </a:ln>
                              </pic:spPr>
                            </pic:pic>
                          </a:graphicData>
                        </a:graphic>
                      </wp:inline>
                    </w:drawing>
                  </w:r>
                </w:p>
                <w:p w:rsidR="00280598" w:rsidRPr="00FB0F62" w:rsidRDefault="00280598" w:rsidP="002A11AC">
                  <w:pPr>
                    <w:rPr>
                      <w:sz w:val="18"/>
                      <w:szCs w:val="18"/>
                      <w:lang w:val="en-GB"/>
                    </w:rPr>
                  </w:pPr>
                  <w:r w:rsidRPr="00FB0F62">
                    <w:rPr>
                      <w:sz w:val="18"/>
                      <w:szCs w:val="18"/>
                    </w:rPr>
                    <w:t>Source</w:t>
                  </w:r>
                  <w:r w:rsidRPr="00FB0F62">
                    <w:rPr>
                      <w:sz w:val="18"/>
                      <w:szCs w:val="18"/>
                      <w:lang w:val="en-GB"/>
                    </w:rPr>
                    <w:t>: NBRM</w:t>
                  </w:r>
                  <w:r>
                    <w:rPr>
                      <w:sz w:val="18"/>
                      <w:szCs w:val="18"/>
                      <w:lang w:val="en-GB"/>
                    </w:rPr>
                    <w:t xml:space="preserve">’s Credit Registry, </w:t>
                  </w:r>
                  <w:r w:rsidRPr="00FB0F62">
                    <w:rPr>
                      <w:sz w:val="18"/>
                      <w:szCs w:val="18"/>
                      <w:lang w:val="en-GB"/>
                    </w:rPr>
                    <w:t>based on data submitted by banks.</w:t>
                  </w: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rPr>
                      <w:lang w:val="mk-MK"/>
                    </w:rPr>
                  </w:pPr>
                </w:p>
              </w:txbxContent>
            </v:textbox>
            <w10:wrap type="square"/>
          </v:shape>
        </w:pict>
      </w:r>
      <w:r w:rsidR="002A11AC" w:rsidRPr="00E6388E">
        <w:rPr>
          <w:rFonts w:cs="Tahoma"/>
        </w:rPr>
        <w:t>Due loans with delayed repayment of 61 to 90 days, whose participation in the performing loans almost doubled, pose a potential risk for increase in the non-performing loans over the following month. Thus, if none of these loans is collected over the following month, 5.0% of the total performing loans as of December 31, 2013 would turn into non-performing. Only on this basis, non-performing loans would increase by Denar 10,269 million, or 38.6%. But the growth registered in the following month (January 2014) is significantly lower, and equals 0.5% or Denar 138 million.</w:t>
      </w:r>
    </w:p>
    <w:p w:rsidR="002A11AC" w:rsidRPr="00E6388E" w:rsidRDefault="002A11AC" w:rsidP="002A11AC">
      <w:pPr>
        <w:rPr>
          <w:rFonts w:cs="Tahoma"/>
        </w:rPr>
      </w:pPr>
    </w:p>
    <w:p w:rsidR="002A11AC" w:rsidRPr="00E6388E" w:rsidRDefault="00803610" w:rsidP="002A11AC">
      <w:pPr>
        <w:ind w:firstLine="720"/>
        <w:rPr>
          <w:rFonts w:cs="Tahoma"/>
        </w:rPr>
      </w:pPr>
      <w:r w:rsidRPr="00803610">
        <w:rPr>
          <w:rFonts w:cs="Tahoma"/>
          <w:noProof/>
          <w:lang w:val="mk-MK" w:eastAsia="mk-MK"/>
        </w:rPr>
        <w:pict>
          <v:shape id="_x0000_s1156" type="#_x0000_t202" style="position:absolute;left:0;text-align:left;margin-left:-224.25pt;margin-top:49.8pt;width:213.7pt;height:358.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" strokecolor="white">
            <v:textbox style="mso-next-textbox:#_x0000_s1156">
              <w:txbxContent>
                <w:p w:rsidR="00280598" w:rsidRPr="00FB0F62" w:rsidRDefault="00280598" w:rsidP="002A11AC">
                  <w:pPr>
                    <w:pStyle w:val="Caption"/>
                    <w:rPr>
                      <w:lang w:val="mk-MK"/>
                    </w:rPr>
                  </w:pPr>
                  <w:r w:rsidRPr="00FB0F62">
                    <w:t xml:space="preserve">Chart </w:t>
                  </w:r>
                  <w:fldSimple w:instr=" SEQ Графикон_бр. \* ARABIC ">
                    <w:r>
                      <w:rPr>
                        <w:noProof/>
                      </w:rPr>
                      <w:t>14</w:t>
                    </w:r>
                  </w:fldSimple>
                </w:p>
                <w:p w:rsidR="00280598" w:rsidRPr="00FB0F62" w:rsidRDefault="00280598" w:rsidP="002A11AC">
                  <w:pPr>
                    <w:pStyle w:val="Caption"/>
                  </w:pPr>
                  <w:r>
                    <w:t>Credit exposure, stock (up) and absolute annual growth (down), by risk category</w:t>
                  </w:r>
                </w:p>
                <w:p w:rsidR="00280598" w:rsidRPr="00FB0F62" w:rsidRDefault="00280598" w:rsidP="002A11AC">
                  <w:pPr>
                    <w:rPr>
                      <w:sz w:val="18"/>
                      <w:szCs w:val="18"/>
                    </w:rPr>
                  </w:pPr>
                  <w:r>
                    <w:rPr>
                      <w:sz w:val="18"/>
                      <w:szCs w:val="18"/>
                    </w:rPr>
                    <w:t>in millions of denars and in %</w:t>
                  </w:r>
                </w:p>
                <w:p w:rsidR="00280598" w:rsidRPr="00901E10" w:rsidRDefault="00280598" w:rsidP="002A11AC">
                  <w:pPr>
                    <w:rPr>
                      <w:lang w:val="mk-MK"/>
                    </w:rPr>
                  </w:pPr>
                  <w:r w:rsidRPr="0045286D">
                    <w:rPr>
                      <w:noProof/>
                      <w:bdr w:val="single" w:sz="4" w:space="0" w:color="auto"/>
                    </w:rPr>
                    <w:drawing>
                      <wp:inline distT="0" distB="0" distL="0" distR="0">
                        <wp:extent cx="2521585" cy="3349528"/>
                        <wp:effectExtent l="19050" t="0" r="0" b="0"/>
                        <wp:docPr id="1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2521585" cy="3349528"/>
                                </a:xfrm>
                                <a:prstGeom prst="rect">
                                  <a:avLst/>
                                </a:prstGeom>
                                <a:noFill/>
                                <a:ln w="9525">
                                  <a:noFill/>
                                  <a:miter lim="800000"/>
                                  <a:headEnd/>
                                  <a:tailEnd/>
                                </a:ln>
                              </pic:spPr>
                            </pic:pic>
                          </a:graphicData>
                        </a:graphic>
                      </wp:inline>
                    </w:drawing>
                  </w:r>
                </w:p>
                <w:p w:rsidR="00280598" w:rsidRPr="00FB0F62" w:rsidRDefault="00280598" w:rsidP="002A11AC">
                  <w:pPr>
                    <w:rPr>
                      <w:sz w:val="18"/>
                      <w:szCs w:val="18"/>
                      <w:lang w:val="en-GB"/>
                    </w:rPr>
                  </w:pPr>
                  <w:r w:rsidRPr="00FB0F62">
                    <w:rPr>
                      <w:sz w:val="18"/>
                      <w:szCs w:val="18"/>
                    </w:rPr>
                    <w:t>Source</w:t>
                  </w:r>
                  <w:r w:rsidRPr="00FB0F62">
                    <w:rPr>
                      <w:sz w:val="18"/>
                      <w:szCs w:val="18"/>
                      <w:lang w:val="en-GB"/>
                    </w:rPr>
                    <w:t>: NBRM</w:t>
                  </w:r>
                  <w:r>
                    <w:rPr>
                      <w:sz w:val="18"/>
                      <w:szCs w:val="18"/>
                      <w:lang w:val="en-GB"/>
                    </w:rPr>
                    <w:t xml:space="preserve">’s Credit Registry, </w:t>
                  </w:r>
                  <w:r w:rsidRPr="00FB0F62">
                    <w:rPr>
                      <w:sz w:val="18"/>
                      <w:szCs w:val="18"/>
                      <w:lang w:val="en-GB"/>
                    </w:rPr>
                    <w:t>based on data submitted by banks.</w:t>
                  </w: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rPr>
                      <w:lang w:val="mk-MK"/>
                    </w:rPr>
                  </w:pPr>
                </w:p>
              </w:txbxContent>
            </v:textbox>
            <w10:wrap type="square"/>
          </v:shape>
        </w:pict>
      </w:r>
      <w:r w:rsidR="002A11AC" w:rsidRPr="00E6388E">
        <w:rPr>
          <w:rFonts w:cs="Tahoma"/>
        </w:rPr>
        <w:t>The annual growth of the credit exposure with performing status is mostly (85.7%) resulting from the exposure in the risk category "A"</w:t>
      </w:r>
      <w:r w:rsidR="002A11AC" w:rsidRPr="00E6388E">
        <w:rPr>
          <w:rStyle w:val="FootnoteReference"/>
          <w:rFonts w:cs="Tahoma"/>
        </w:rPr>
        <w:footnoteReference w:id="11"/>
      </w:r>
      <w:r w:rsidR="002A11AC" w:rsidRPr="00E6388E">
        <w:rPr>
          <w:rFonts w:cs="Tahoma"/>
        </w:rPr>
        <w:t>, while the increased credit exposure with a non-performing status is triggered by the increased exposure in risk category "D" (about Denar 2,421 million or 14.1%). The growth of the non-performing credit exposure in this risk category arises entirely from the companies. This growth is a result of the deteriorated quality of individual credit exposures, but also of the tightened criterion for classification of credit exposures with a delay of over 241 days (previously 270 days) in risk category "D", which was performed simultaneously with the lowering of the impairment threshold (which was reduced in all risk categories, while for risk category "D" it was reduced from 75% to 70%).</w:t>
      </w:r>
    </w:p>
    <w:p w:rsidR="002A11AC" w:rsidRPr="00E6388E" w:rsidRDefault="002A11AC" w:rsidP="002A11AC">
      <w:pPr>
        <w:rPr>
          <w:rFonts w:cs="Tahoma"/>
        </w:rPr>
      </w:pPr>
      <w:r w:rsidRPr="00E6388E">
        <w:rPr>
          <w:rFonts w:cs="Tahoma"/>
        </w:rPr>
        <w:tab/>
      </w:r>
    </w:p>
    <w:p w:rsidR="002A11AC" w:rsidRPr="00E6388E" w:rsidRDefault="002A11AC" w:rsidP="002A11AC">
      <w:pPr>
        <w:ind w:firstLine="720"/>
        <w:rPr>
          <w:rFonts w:cs="Tahoma"/>
        </w:rPr>
      </w:pPr>
      <w:r w:rsidRPr="00E6388E">
        <w:rPr>
          <w:rFonts w:cs="Tahoma"/>
        </w:rPr>
        <w:t>According to individual</w:t>
      </w:r>
      <w:r>
        <w:rPr>
          <w:rFonts w:cs="Tahoma"/>
        </w:rPr>
        <w:t xml:space="preserve"> activities in the corporate</w:t>
      </w:r>
      <w:r w:rsidRPr="00E6388E">
        <w:rPr>
          <w:rFonts w:cs="Tahoma"/>
        </w:rPr>
        <w:t xml:space="preserve"> sector, the credit risk is the highest in "industry" and "construction", while according to individual products of the household sector, it is the highest in credit cards and consumer loans (Annexes 24 and 25). According to the currency structure, the highest risk-bearing credit exposure is that in Denars with foreign exchange clause (Annex 23).</w:t>
      </w:r>
    </w:p>
    <w:p w:rsidR="002A11AC" w:rsidRPr="00E6388E" w:rsidRDefault="002A11AC" w:rsidP="002A11AC">
      <w:pPr>
        <w:rPr>
          <w:rFonts w:cs="Tahoma"/>
        </w:rPr>
      </w:pPr>
    </w:p>
    <w:p w:rsidR="002A11AC" w:rsidRPr="00E6388E" w:rsidRDefault="002A11AC" w:rsidP="002A11AC">
      <w:pPr>
        <w:ind w:firstLine="720"/>
        <w:rPr>
          <w:rFonts w:cs="Tahoma"/>
        </w:rPr>
      </w:pPr>
      <w:r w:rsidRPr="00E6388E">
        <w:rPr>
          <w:rFonts w:cs="Tahoma"/>
        </w:rPr>
        <w:t xml:space="preserve">The percentage of credit exposure with performing status, which for a period of one </w:t>
      </w:r>
      <w:r w:rsidRPr="00E6388E">
        <w:rPr>
          <w:rFonts w:cs="Tahoma"/>
        </w:rPr>
        <w:lastRenderedPageBreak/>
        <w:t>quarter receives a status of a non-performing exposure</w:t>
      </w:r>
      <w:r w:rsidRPr="00E6388E">
        <w:rPr>
          <w:rStyle w:val="FootnoteReference"/>
          <w:rFonts w:cs="Tahoma"/>
        </w:rPr>
        <w:footnoteReference w:id="12"/>
      </w:r>
      <w:r w:rsidRPr="00E6388E">
        <w:rPr>
          <w:rFonts w:cs="Tahoma"/>
        </w:rPr>
        <w:t xml:space="preserve"> increased at the end of 2013 (1.6% versus 1.1% at the end of 2012). Analyzed by individual sectors, 2.5% of the performing exposures to </w:t>
      </w:r>
      <w:r>
        <w:rPr>
          <w:rFonts w:cs="Tahoma"/>
        </w:rPr>
        <w:t>compani</w:t>
      </w:r>
      <w:r w:rsidRPr="00E6388E">
        <w:rPr>
          <w:rFonts w:cs="Tahoma"/>
        </w:rPr>
        <w:t>es and 0.5% of these exposures to natural persons received a non-performing status in one quarter. In the last quarter of 2013, a significant increase was registered in the share of the credit exposures to companies in the category "C" performing,   that within one quarter receive a non-performing status</w:t>
      </w:r>
      <w:r w:rsidRPr="00E6388E">
        <w:rPr>
          <w:rStyle w:val="FootnoteReference"/>
          <w:rFonts w:cs="Tahoma"/>
        </w:rPr>
        <w:footnoteReference w:id="13"/>
      </w:r>
      <w:r w:rsidRPr="00E6388E">
        <w:rPr>
          <w:rFonts w:cs="Tahoma"/>
        </w:rPr>
        <w:t xml:space="preserve"> (from 7.2% in the third quarter of 2013 to 24.2% in the last quarter).</w:t>
      </w:r>
    </w:p>
    <w:p w:rsidR="002A11AC" w:rsidRDefault="00803610" w:rsidP="002E37D9">
      <w:pPr>
        <w:rPr>
          <w:rFonts w:cs="Tahoma"/>
        </w:rPr>
      </w:pPr>
      <w:r w:rsidRPr="00803610">
        <w:rPr>
          <w:rFonts w:cs="Tahoma"/>
          <w:noProof/>
          <w:lang w:val="mk-MK" w:eastAsia="mk-MK"/>
        </w:rPr>
        <w:pict>
          <v:shape id="_x0000_s1157" type="#_x0000_t202" style="position:absolute;left:0;text-align:left;margin-left:-223.5pt;margin-top:-177.7pt;width:213.7pt;height:353.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" strokecolor="white">
            <v:textbox style="mso-next-textbox:#_x0000_s1157">
              <w:txbxContent>
                <w:p w:rsidR="00280598" w:rsidRPr="00FB0F62" w:rsidRDefault="00280598" w:rsidP="002A11AC">
                  <w:pPr>
                    <w:pStyle w:val="Caption"/>
                    <w:rPr>
                      <w:lang w:val="mk-MK"/>
                    </w:rPr>
                  </w:pPr>
                  <w:r w:rsidRPr="00FB0F62">
                    <w:t xml:space="preserve">Chart </w:t>
                  </w:r>
                  <w:fldSimple w:instr=" SEQ Графикон_бр. \* ARABIC ">
                    <w:r>
                      <w:rPr>
                        <w:noProof/>
                      </w:rPr>
                      <w:t>15</w:t>
                    </w:r>
                  </w:fldSimple>
                </w:p>
                <w:p w:rsidR="00280598" w:rsidRPr="00FB0F62" w:rsidRDefault="00280598" w:rsidP="002A11AC">
                  <w:pPr>
                    <w:pStyle w:val="Caption"/>
                  </w:pPr>
                  <w:r>
                    <w:t>Quarterly shift of credit exposure to companies (up) and natural persons (down) from regular to non-performing status</w:t>
                  </w:r>
                </w:p>
                <w:p w:rsidR="00280598" w:rsidRPr="00FB0F62" w:rsidRDefault="00280598" w:rsidP="002A11AC">
                  <w:pPr>
                    <w:rPr>
                      <w:sz w:val="18"/>
                      <w:szCs w:val="18"/>
                    </w:rPr>
                  </w:pPr>
                  <w:r>
                    <w:rPr>
                      <w:sz w:val="18"/>
                      <w:szCs w:val="18"/>
                    </w:rPr>
                    <w:t>in %</w:t>
                  </w:r>
                </w:p>
                <w:p w:rsidR="00280598" w:rsidRPr="00901E10" w:rsidRDefault="00280598" w:rsidP="002A11AC">
                  <w:pPr>
                    <w:rPr>
                      <w:lang w:val="mk-MK"/>
                    </w:rPr>
                  </w:pPr>
                  <w:r w:rsidRPr="000748C9">
                    <w:rPr>
                      <w:noProof/>
                      <w:bdr w:val="single" w:sz="4" w:space="0" w:color="auto"/>
                    </w:rPr>
                    <w:drawing>
                      <wp:inline distT="0" distB="0" distL="0" distR="0">
                        <wp:extent cx="2521191" cy="3171825"/>
                        <wp:effectExtent l="1905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521585" cy="3172320"/>
                                </a:xfrm>
                                <a:prstGeom prst="rect">
                                  <a:avLst/>
                                </a:prstGeom>
                                <a:noFill/>
                                <a:ln w="9525">
                                  <a:noFill/>
                                  <a:miter lim="800000"/>
                                  <a:headEnd/>
                                  <a:tailEnd/>
                                </a:ln>
                              </pic:spPr>
                            </pic:pic>
                          </a:graphicData>
                        </a:graphic>
                      </wp:inline>
                    </w:drawing>
                  </w:r>
                </w:p>
                <w:p w:rsidR="00280598" w:rsidRPr="00FB0F62" w:rsidRDefault="00280598" w:rsidP="002A11AC">
                  <w:pPr>
                    <w:rPr>
                      <w:sz w:val="18"/>
                      <w:szCs w:val="18"/>
                      <w:lang w:val="en-GB"/>
                    </w:rPr>
                  </w:pPr>
                  <w:r w:rsidRPr="00FB0F62">
                    <w:rPr>
                      <w:sz w:val="18"/>
                      <w:szCs w:val="18"/>
                    </w:rPr>
                    <w:t>Source</w:t>
                  </w:r>
                  <w:r w:rsidRPr="00FB0F62">
                    <w:rPr>
                      <w:sz w:val="18"/>
                      <w:szCs w:val="18"/>
                      <w:lang w:val="en-GB"/>
                    </w:rPr>
                    <w:t>: NBRM</w:t>
                  </w:r>
                  <w:r>
                    <w:rPr>
                      <w:sz w:val="18"/>
                      <w:szCs w:val="18"/>
                      <w:lang w:val="en-GB"/>
                    </w:rPr>
                    <w:t xml:space="preserve">’s Credit Registry, </w:t>
                  </w:r>
                  <w:r w:rsidRPr="00FB0F62">
                    <w:rPr>
                      <w:sz w:val="18"/>
                      <w:szCs w:val="18"/>
                      <w:lang w:val="en-GB"/>
                    </w:rPr>
                    <w:t>based on data submitted by banks.</w:t>
                  </w: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pStyle w:val="Caption"/>
                    <w:rPr>
                      <w:b w:val="0"/>
                      <w:sz w:val="18"/>
                      <w:szCs w:val="18"/>
                    </w:rPr>
                  </w:pPr>
                </w:p>
                <w:p w:rsidR="00280598" w:rsidRPr="00D20DE0" w:rsidRDefault="00280598" w:rsidP="002A11AC">
                  <w:pPr>
                    <w:rPr>
                      <w:lang w:val="mk-MK"/>
                    </w:rPr>
                  </w:pPr>
                </w:p>
              </w:txbxContent>
            </v:textbox>
            <w10:wrap type="square"/>
          </v:shape>
        </w:pict>
      </w:r>
    </w:p>
    <w:p w:rsidR="002A11AC" w:rsidRDefault="00803610" w:rsidP="002A11AC">
      <w:pPr>
        <w:ind w:firstLine="720"/>
        <w:rPr>
          <w:rFonts w:cs="Tahoma"/>
        </w:rPr>
      </w:pPr>
      <w:r w:rsidRPr="00803610">
        <w:rPr>
          <w:rFonts w:cs="Tahoma"/>
          <w:noProof/>
          <w:lang w:val="mk-MK" w:eastAsia="mk-MK"/>
        </w:rPr>
        <w:pict>
          <v:shape id="_x0000_s1158" type="#_x0000_t202" style="position:absolute;left:0;text-align:left;margin-left:-223.5pt;margin-top:158.55pt;width:213.7pt;height:228.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" strokecolor="white">
            <v:textbox style="mso-next-textbox:#_x0000_s1158">
              <w:txbxContent>
                <w:p w:rsidR="00280598" w:rsidRPr="00FB0F62" w:rsidRDefault="00280598" w:rsidP="002A11AC">
                  <w:pPr>
                    <w:pStyle w:val="Caption"/>
                    <w:rPr>
                      <w:lang w:val="mk-MK"/>
                    </w:rPr>
                  </w:pPr>
                  <w:r w:rsidRPr="00FB0F62">
                    <w:t xml:space="preserve">Chart </w:t>
                  </w:r>
                  <w:fldSimple w:instr=" SEQ Графикон_бр. \* ARABIC ">
                    <w:r>
                      <w:rPr>
                        <w:noProof/>
                      </w:rPr>
                      <w:t>16</w:t>
                    </w:r>
                  </w:fldSimple>
                </w:p>
                <w:p w:rsidR="00280598" w:rsidRPr="00FB0F62" w:rsidRDefault="00280598" w:rsidP="002A11AC">
                  <w:pPr>
                    <w:pStyle w:val="Caption"/>
                  </w:pPr>
                  <w:r>
                    <w:t>Structure of credit exposure to non-financial entities, by maturity of principal</w:t>
                  </w:r>
                </w:p>
                <w:p w:rsidR="00280598" w:rsidRPr="00FB0F62" w:rsidRDefault="00280598" w:rsidP="002A11AC">
                  <w:pPr>
                    <w:rPr>
                      <w:sz w:val="18"/>
                      <w:szCs w:val="18"/>
                    </w:rPr>
                  </w:pPr>
                  <w:r>
                    <w:rPr>
                      <w:sz w:val="18"/>
                      <w:szCs w:val="18"/>
                    </w:rPr>
                    <w:t>in %</w:t>
                  </w:r>
                </w:p>
                <w:p w:rsidR="00280598" w:rsidRPr="00901E10" w:rsidRDefault="00280598" w:rsidP="002A11AC">
                  <w:pPr>
                    <w:rPr>
                      <w:lang w:val="mk-MK"/>
                    </w:rPr>
                  </w:pPr>
                  <w:r w:rsidRPr="00A928F1">
                    <w:rPr>
                      <w:noProof/>
                    </w:rPr>
                    <w:drawing>
                      <wp:inline distT="0" distB="0" distL="0" distR="0">
                        <wp:extent cx="2476500" cy="1504950"/>
                        <wp:effectExtent l="1905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2474009" cy="1503436"/>
                                </a:xfrm>
                                <a:prstGeom prst="rect">
                                  <a:avLst/>
                                </a:prstGeom>
                                <a:noFill/>
                                <a:ln w="9525">
                                  <a:noFill/>
                                  <a:miter lim="800000"/>
                                  <a:headEnd/>
                                  <a:tailEnd/>
                                </a:ln>
                              </pic:spPr>
                            </pic:pic>
                          </a:graphicData>
                        </a:graphic>
                      </wp:inline>
                    </w:drawing>
                  </w:r>
                </w:p>
                <w:p w:rsidR="00280598" w:rsidRDefault="00280598" w:rsidP="002A11AC">
                  <w:pPr>
                    <w:rPr>
                      <w:sz w:val="18"/>
                      <w:szCs w:val="18"/>
                      <w:lang w:val="en-GB"/>
                    </w:rPr>
                  </w:pPr>
                  <w:r w:rsidRPr="00FB0F62">
                    <w:rPr>
                      <w:sz w:val="18"/>
                      <w:szCs w:val="18"/>
                    </w:rPr>
                    <w:t>Source</w:t>
                  </w:r>
                  <w:r w:rsidRPr="00FB0F62">
                    <w:rPr>
                      <w:sz w:val="18"/>
                      <w:szCs w:val="18"/>
                      <w:lang w:val="en-GB"/>
                    </w:rPr>
                    <w:t>: NBRM</w:t>
                  </w:r>
                  <w:r>
                    <w:rPr>
                      <w:sz w:val="18"/>
                      <w:szCs w:val="18"/>
                      <w:lang w:val="en-GB"/>
                    </w:rPr>
                    <w:t xml:space="preserve">’s Credit Registry, </w:t>
                  </w:r>
                  <w:r w:rsidRPr="00FB0F62">
                    <w:rPr>
                      <w:sz w:val="18"/>
                      <w:szCs w:val="18"/>
                      <w:lang w:val="en-GB"/>
                    </w:rPr>
                    <w:t>based on data submitted by banks.</w:t>
                  </w:r>
                </w:p>
                <w:p w:rsidR="00280598" w:rsidRPr="00FB0F62" w:rsidRDefault="00280598" w:rsidP="002A11AC">
                  <w:pPr>
                    <w:rPr>
                      <w:sz w:val="18"/>
                      <w:szCs w:val="18"/>
                      <w:lang w:val="en-GB"/>
                    </w:rPr>
                  </w:pPr>
                  <w:r>
                    <w:rPr>
                      <w:sz w:val="18"/>
                      <w:szCs w:val="18"/>
                      <w:lang w:val="en-GB"/>
                    </w:rPr>
                    <w:t>Note: The analysis does not include exposures classified on a group basis.</w:t>
                  </w:r>
                </w:p>
                <w:p w:rsidR="00280598" w:rsidRPr="00D20DE0" w:rsidRDefault="00280598" w:rsidP="002A11AC">
                  <w:pPr>
                    <w:rPr>
                      <w:lang w:val="mk-MK"/>
                    </w:rPr>
                  </w:pPr>
                </w:p>
              </w:txbxContent>
            </v:textbox>
            <w10:wrap type="square"/>
          </v:shape>
        </w:pict>
      </w:r>
      <w:r w:rsidR="002A11AC" w:rsidRPr="00E6388E">
        <w:rPr>
          <w:rFonts w:cs="Tahoma"/>
        </w:rPr>
        <w:t xml:space="preserve">The analysis of the credit exposure to non-financial entities according to the maturity of the principal, as of December 31, 2013, showed that 28.6% of the amount falls due by the end of 2014, and almost the same amount falls due after 2019. The exposure with an average risk level of up to 20% (categories "A" and "B") accounts for 95.7% of the total credit exposure which falls due by the end of 2014 and the largest proportion of which (74.4%) refers to </w:t>
      </w:r>
      <w:r w:rsidR="002A11AC">
        <w:rPr>
          <w:rFonts w:cs="Tahoma"/>
        </w:rPr>
        <w:t>companies</w:t>
      </w:r>
      <w:r w:rsidR="002A11AC" w:rsidRPr="00E6388E">
        <w:rPr>
          <w:rFonts w:cs="Tahoma"/>
        </w:rPr>
        <w:t>, i.e. customers from the activities "wholesale and retail trade" and "industry", whose average risk level is in the risk category "B".</w:t>
      </w:r>
    </w:p>
    <w:p w:rsidR="002A11AC" w:rsidRDefault="002A11AC" w:rsidP="002A11AC">
      <w:pPr>
        <w:ind w:firstLine="720"/>
        <w:rPr>
          <w:rFonts w:cs="Tahoma"/>
        </w:rPr>
      </w:pPr>
    </w:p>
    <w:p w:rsidR="002E37D9" w:rsidRDefault="002E37D9" w:rsidP="002A11AC">
      <w:pPr>
        <w:ind w:firstLine="720"/>
        <w:rPr>
          <w:rFonts w:cs="Tahoma"/>
        </w:rPr>
      </w:pPr>
    </w:p>
    <w:p w:rsidR="002E37D9" w:rsidRDefault="002E37D9" w:rsidP="002A11AC">
      <w:pPr>
        <w:ind w:firstLine="720"/>
        <w:rPr>
          <w:rFonts w:cs="Tahoma"/>
        </w:rPr>
      </w:pPr>
    </w:p>
    <w:p w:rsidR="002A11AC" w:rsidRPr="00E6388E" w:rsidRDefault="002A11AC" w:rsidP="002A11AC">
      <w:pPr>
        <w:ind w:firstLine="720"/>
        <w:rPr>
          <w:rFonts w:cs="Tahoma"/>
        </w:rPr>
      </w:pPr>
      <w:r w:rsidRPr="00E6388E">
        <w:rPr>
          <w:rFonts w:cs="Tahoma"/>
        </w:rPr>
        <w:t>At the end of 2013, the share of the uncollateralized credit exposure</w:t>
      </w:r>
      <w:r w:rsidRPr="00E6388E">
        <w:rPr>
          <w:rStyle w:val="FootnoteReference"/>
          <w:rFonts w:cs="Tahoma"/>
        </w:rPr>
        <w:footnoteReference w:id="14"/>
      </w:r>
      <w:r w:rsidRPr="00E6388E">
        <w:rPr>
          <w:rFonts w:cs="Tahoma"/>
        </w:rPr>
        <w:t xml:space="preserve"> in the total credit exposure to non-financial entities, but also to individual sectors, decreased. This decline is most pronounced in the companies where the uncollateralized exposure reduced by 30.0% on an annual basis, which corresponds to the tightened credit conditions for the corporate sector in the first two quarters of 2013. The share of the uncollateralized exposure to natural persons was reduced to 14.5%, if the exposure </w:t>
      </w:r>
      <w:r w:rsidRPr="00E6388E">
        <w:rPr>
          <w:rFonts w:cs="Tahoma"/>
        </w:rPr>
        <w:lastRenderedPageBreak/>
        <w:t>based on overdrafts on current accounts and credit cards</w:t>
      </w:r>
      <w:r w:rsidRPr="00E6388E">
        <w:rPr>
          <w:rStyle w:val="FootnoteReference"/>
          <w:rFonts w:cs="Tahoma"/>
        </w:rPr>
        <w:footnoteReference w:id="15"/>
      </w:r>
      <w:r w:rsidRPr="00E6388E">
        <w:rPr>
          <w:rFonts w:cs="Tahoma"/>
        </w:rPr>
        <w:t xml:space="preserve"> is excluded. The relatively high coverage of the credit portfolio with some form of collateral contributes to mitigate the level of credit risk that banks have assumed and it may also serve as a potential source for collection of the non-performing exposure. However, such credit policy of banks makes the access to loans difficult for the customers who do not have (adequate) security, and can also mean transforming of the credit risk into a risk of (in)ability to sell the foreclosed property. </w:t>
      </w:r>
    </w:p>
    <w:p w:rsidR="002A11AC" w:rsidRPr="00E6388E" w:rsidRDefault="00803610" w:rsidP="002A11AC">
      <w:pPr>
        <w:rPr>
          <w:rFonts w:cs="Tahoma"/>
        </w:rPr>
      </w:pPr>
      <w:r w:rsidRPr="00803610">
        <w:rPr>
          <w:rFonts w:cs="Tahoma"/>
          <w:noProof/>
          <w:lang w:val="mk-MK" w:eastAsia="mk-MK"/>
        </w:rPr>
        <w:pict>
          <v:shape id="_x0000_s1159" type="#_x0000_t202" style="position:absolute;left:0;text-align:left;margin-left:-221.25pt;margin-top:-159.9pt;width:213.7pt;height:222.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" strokecolor="white">
            <v:textbox style="mso-next-textbox:#_x0000_s1159">
              <w:txbxContent>
                <w:p w:rsidR="00280598" w:rsidRPr="00FB0F62" w:rsidRDefault="00280598" w:rsidP="002A11AC">
                  <w:pPr>
                    <w:pStyle w:val="Caption"/>
                    <w:rPr>
                      <w:lang w:val="mk-MK"/>
                    </w:rPr>
                  </w:pPr>
                  <w:r w:rsidRPr="00FB0F62">
                    <w:t xml:space="preserve">Chart </w:t>
                  </w:r>
                  <w:fldSimple w:instr=" SEQ Графикон_бр. \* ARABIC ">
                    <w:r>
                      <w:rPr>
                        <w:noProof/>
                      </w:rPr>
                      <w:t>17</w:t>
                    </w:r>
                  </w:fldSimple>
                </w:p>
                <w:p w:rsidR="00280598" w:rsidRPr="00FB0F62" w:rsidRDefault="00280598" w:rsidP="002A11AC">
                  <w:pPr>
                    <w:pStyle w:val="Caption"/>
                  </w:pPr>
                  <w:r>
                    <w:t>Share of uncollateralized exposure in total credit exposure of non-financial entities and of sectors</w:t>
                  </w:r>
                </w:p>
                <w:p w:rsidR="00280598" w:rsidRPr="00FB0F62" w:rsidRDefault="00280598" w:rsidP="002A11AC">
                  <w:pPr>
                    <w:rPr>
                      <w:sz w:val="18"/>
                      <w:szCs w:val="18"/>
                    </w:rPr>
                  </w:pPr>
                  <w:r>
                    <w:rPr>
                      <w:sz w:val="18"/>
                      <w:szCs w:val="18"/>
                    </w:rPr>
                    <w:t>in %</w:t>
                  </w:r>
                </w:p>
                <w:p w:rsidR="00280598" w:rsidRPr="00901E10" w:rsidRDefault="00280598" w:rsidP="002A11AC">
                  <w:pPr>
                    <w:rPr>
                      <w:lang w:val="mk-MK"/>
                    </w:rPr>
                  </w:pPr>
                  <w:r w:rsidRPr="00A928F1">
                    <w:rPr>
                      <w:noProof/>
                    </w:rPr>
                    <w:drawing>
                      <wp:inline distT="0" distB="0" distL="0" distR="0">
                        <wp:extent cx="2514756" cy="1609725"/>
                        <wp:effectExtent l="19050" t="0" r="0" b="0"/>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2521585" cy="1614096"/>
                                </a:xfrm>
                                <a:prstGeom prst="rect">
                                  <a:avLst/>
                                </a:prstGeom>
                                <a:noFill/>
                                <a:ln w="9525">
                                  <a:noFill/>
                                  <a:miter lim="800000"/>
                                  <a:headEnd/>
                                  <a:tailEnd/>
                                </a:ln>
                              </pic:spPr>
                            </pic:pic>
                          </a:graphicData>
                        </a:graphic>
                      </wp:inline>
                    </w:drawing>
                  </w:r>
                </w:p>
                <w:p w:rsidR="00280598" w:rsidRDefault="00280598" w:rsidP="002A11AC">
                  <w:pPr>
                    <w:rPr>
                      <w:sz w:val="18"/>
                      <w:szCs w:val="18"/>
                      <w:lang w:val="en-GB"/>
                    </w:rPr>
                  </w:pPr>
                  <w:r w:rsidRPr="00FB0F62">
                    <w:rPr>
                      <w:sz w:val="18"/>
                      <w:szCs w:val="18"/>
                    </w:rPr>
                    <w:t>Source</w:t>
                  </w:r>
                  <w:r w:rsidRPr="00FB0F62">
                    <w:rPr>
                      <w:sz w:val="18"/>
                      <w:szCs w:val="18"/>
                      <w:lang w:val="en-GB"/>
                    </w:rPr>
                    <w:t>: NBRM</w:t>
                  </w:r>
                  <w:r>
                    <w:rPr>
                      <w:sz w:val="18"/>
                      <w:szCs w:val="18"/>
                      <w:lang w:val="en-GB"/>
                    </w:rPr>
                    <w:t xml:space="preserve">’s Credit Registry, </w:t>
                  </w:r>
                  <w:r w:rsidRPr="00FB0F62">
                    <w:rPr>
                      <w:sz w:val="18"/>
                      <w:szCs w:val="18"/>
                      <w:lang w:val="en-GB"/>
                    </w:rPr>
                    <w:t>based on data submitted by banks.</w:t>
                  </w:r>
                </w:p>
                <w:p w:rsidR="00280598" w:rsidRPr="00D20DE0" w:rsidRDefault="00280598" w:rsidP="002A11AC">
                  <w:pPr>
                    <w:rPr>
                      <w:lang w:val="mk-MK"/>
                    </w:rPr>
                  </w:pPr>
                </w:p>
              </w:txbxContent>
            </v:textbox>
            <w10:wrap type="square"/>
          </v:shape>
        </w:pict>
      </w:r>
    </w:p>
    <w:p w:rsidR="002A11AC" w:rsidRPr="00E6388E" w:rsidRDefault="00803610" w:rsidP="002A11AC">
      <w:pPr>
        <w:ind w:firstLine="720"/>
        <w:rPr>
          <w:rFonts w:cs="Tahoma"/>
        </w:rPr>
      </w:pPr>
      <w:r w:rsidRPr="00803610">
        <w:rPr>
          <w:rFonts w:cs="Tahoma"/>
          <w:noProof/>
          <w:lang w:val="mk-MK" w:eastAsia="mk-MK"/>
        </w:rPr>
        <w:pict>
          <v:shape id="_x0000_s1160" type="#_x0000_t202" style="position:absolute;left:0;text-align:left;margin-left:-223.15pt;margin-top:60.05pt;width:213.7pt;height:212.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" strokecolor="white">
            <v:textbox style="mso-next-textbox:#_x0000_s1160">
              <w:txbxContent>
                <w:p w:rsidR="00280598" w:rsidRPr="00FB0F62" w:rsidRDefault="00280598" w:rsidP="002A11AC">
                  <w:pPr>
                    <w:pStyle w:val="Caption"/>
                    <w:rPr>
                      <w:lang w:val="mk-MK"/>
                    </w:rPr>
                  </w:pPr>
                  <w:r w:rsidRPr="00FB0F62">
                    <w:t xml:space="preserve">Chart </w:t>
                  </w:r>
                  <w:fldSimple w:instr=" SEQ Графикон_бр. \* ARABIC ">
                    <w:r>
                      <w:rPr>
                        <w:noProof/>
                      </w:rPr>
                      <w:t>18</w:t>
                    </w:r>
                  </w:fldSimple>
                </w:p>
                <w:p w:rsidR="00280598" w:rsidRPr="00FB0F62" w:rsidRDefault="00280598" w:rsidP="002A11AC">
                  <w:pPr>
                    <w:pStyle w:val="Caption"/>
                  </w:pPr>
                  <w:r>
                    <w:t>Share of bullet loans in total loans to non-financial entities and to companies</w:t>
                  </w:r>
                </w:p>
                <w:p w:rsidR="00280598" w:rsidRPr="00FB0F62" w:rsidRDefault="00280598" w:rsidP="002A11AC">
                  <w:pPr>
                    <w:rPr>
                      <w:sz w:val="18"/>
                      <w:szCs w:val="18"/>
                    </w:rPr>
                  </w:pPr>
                  <w:r>
                    <w:rPr>
                      <w:sz w:val="18"/>
                      <w:szCs w:val="18"/>
                    </w:rPr>
                    <w:t>in %</w:t>
                  </w:r>
                </w:p>
                <w:p w:rsidR="00280598" w:rsidRPr="00901E10" w:rsidRDefault="00280598" w:rsidP="002A11AC">
                  <w:pPr>
                    <w:rPr>
                      <w:lang w:val="mk-MK"/>
                    </w:rPr>
                  </w:pPr>
                  <w:r w:rsidRPr="005005ED">
                    <w:rPr>
                      <w:noProof/>
                    </w:rPr>
                    <w:drawing>
                      <wp:inline distT="0" distB="0" distL="0" distR="0">
                        <wp:extent cx="2505075" cy="1628775"/>
                        <wp:effectExtent l="19050" t="0" r="9525"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2512427" cy="1633555"/>
                                </a:xfrm>
                                <a:prstGeom prst="rect">
                                  <a:avLst/>
                                </a:prstGeom>
                                <a:noFill/>
                                <a:ln w="9525">
                                  <a:noFill/>
                                  <a:miter lim="800000"/>
                                  <a:headEnd/>
                                  <a:tailEnd/>
                                </a:ln>
                              </pic:spPr>
                            </pic:pic>
                          </a:graphicData>
                        </a:graphic>
                      </wp:inline>
                    </w:drawing>
                  </w:r>
                </w:p>
                <w:p w:rsidR="00280598" w:rsidRDefault="00280598" w:rsidP="002A11AC">
                  <w:pPr>
                    <w:rPr>
                      <w:sz w:val="18"/>
                      <w:szCs w:val="18"/>
                      <w:lang w:val="en-GB"/>
                    </w:rPr>
                  </w:pPr>
                  <w:r w:rsidRPr="00FB0F62">
                    <w:rPr>
                      <w:sz w:val="18"/>
                      <w:szCs w:val="18"/>
                    </w:rPr>
                    <w:t>Source</w:t>
                  </w:r>
                  <w:r w:rsidRPr="00FB0F62">
                    <w:rPr>
                      <w:sz w:val="18"/>
                      <w:szCs w:val="18"/>
                      <w:lang w:val="en-GB"/>
                    </w:rPr>
                    <w:t>: NBRM</w:t>
                  </w:r>
                  <w:r>
                    <w:rPr>
                      <w:sz w:val="18"/>
                      <w:szCs w:val="18"/>
                      <w:lang w:val="en-GB"/>
                    </w:rPr>
                    <w:t xml:space="preserve">’s Credit Registry, </w:t>
                  </w:r>
                  <w:r w:rsidRPr="00FB0F62">
                    <w:rPr>
                      <w:sz w:val="18"/>
                      <w:szCs w:val="18"/>
                      <w:lang w:val="en-GB"/>
                    </w:rPr>
                    <w:t>based on data submitted by banks.</w:t>
                  </w:r>
                </w:p>
                <w:p w:rsidR="00280598" w:rsidRPr="00D20DE0" w:rsidRDefault="00280598" w:rsidP="002A11AC">
                  <w:pPr>
                    <w:rPr>
                      <w:lang w:val="mk-MK"/>
                    </w:rPr>
                  </w:pPr>
                </w:p>
              </w:txbxContent>
            </v:textbox>
            <w10:wrap type="square"/>
          </v:shape>
        </w:pict>
      </w:r>
      <w:r w:rsidR="002A11AC" w:rsidRPr="00E6388E">
        <w:rPr>
          <w:rFonts w:cs="Tahoma"/>
        </w:rPr>
        <w:t xml:space="preserve">The share of bullet loans in the total loans to non-financial entities increased, as a result of the significant growth of 20.4% of the bullet loans. Such structured loans were entirely granted to </w:t>
      </w:r>
      <w:r w:rsidR="002A11AC">
        <w:rPr>
          <w:rFonts w:cs="Tahoma"/>
        </w:rPr>
        <w:t>companies</w:t>
      </w:r>
      <w:r w:rsidR="002A11AC" w:rsidRPr="00E6388E">
        <w:rPr>
          <w:rFonts w:cs="Tahoma"/>
        </w:rPr>
        <w:t>. Any extension of the growing banks' orientation toward approving bullet loans may be a sign of potential future credit risk, i.e. risk of possible underestimation of the current credit risk due to the delay of the appropriate allocation of impairment (in circumstances where the periodic repayments consist only of interest).</w:t>
      </w:r>
    </w:p>
    <w:p w:rsidR="002A11AC" w:rsidRPr="00E6388E" w:rsidRDefault="002A11AC" w:rsidP="002A11AC">
      <w:pPr>
        <w:rPr>
          <w:rFonts w:cs="Tahoma"/>
        </w:rPr>
      </w:pPr>
    </w:p>
    <w:p w:rsidR="002A11AC" w:rsidRPr="00E6388E" w:rsidRDefault="002A11AC" w:rsidP="002A11AC">
      <w:pPr>
        <w:ind w:firstLine="720"/>
        <w:rPr>
          <w:rFonts w:cs="Tahoma"/>
        </w:rPr>
      </w:pPr>
      <w:r w:rsidRPr="00E6388E">
        <w:rPr>
          <w:rFonts w:cs="Tahoma"/>
        </w:rPr>
        <w:t>At the end of 2013, the credit risk concentration measured by the share of large exposures (including exposures to financial institutions)</w:t>
      </w:r>
      <w:r w:rsidRPr="00E6388E">
        <w:rPr>
          <w:rStyle w:val="FootnoteReference"/>
          <w:rFonts w:cs="Tahoma"/>
        </w:rPr>
        <w:footnoteReference w:id="16"/>
      </w:r>
      <w:r w:rsidRPr="00E6388E">
        <w:rPr>
          <w:rFonts w:cs="Tahoma"/>
        </w:rPr>
        <w:t xml:space="preserve"> in the banks' own funds decreased. Analyzed by bank, the share of large exposures in the own funds ranges between 10.5% and 729.1% and is within the maximum prescribed limit</w:t>
      </w:r>
      <w:r w:rsidRPr="00E6388E">
        <w:rPr>
          <w:rStyle w:val="FootnoteReference"/>
          <w:rFonts w:cs="Tahoma"/>
        </w:rPr>
        <w:footnoteReference w:id="17"/>
      </w:r>
      <w:r w:rsidRPr="00E6388E">
        <w:rPr>
          <w:rFonts w:cs="Tahoma"/>
        </w:rPr>
        <w:t>. If the exposures of banks to financial institutions and placements in CB bills and government securities are excluded, the concentration is clearly lower, i.e. the share of large exposures to non-financial entities in the banks' own funds was 65.9%</w:t>
      </w:r>
      <w:r w:rsidRPr="00E6388E">
        <w:rPr>
          <w:rStyle w:val="FootnoteReference"/>
          <w:rFonts w:cs="Tahoma"/>
        </w:rPr>
        <w:footnoteReference w:id="18"/>
      </w:r>
      <w:r w:rsidRPr="00E6388E">
        <w:rPr>
          <w:rFonts w:cs="Tahoma"/>
        </w:rPr>
        <w:t xml:space="preserve">. Analyzed by bank, the share of large exposures to non-financial entities in the own funds ranges from 10.5% to 188.4%. Moreover, about half of the large exposures at the system level account for one bank. Credit exposure to companies is mostly </w:t>
      </w:r>
      <w:r w:rsidRPr="00E6388E">
        <w:rPr>
          <w:rFonts w:cs="Tahoma"/>
        </w:rPr>
        <w:lastRenderedPageBreak/>
        <w:t>concentrated in the activities "industry" and "wholesale and retail trade" (which account for approximately one-third in the total exposure to the corporate sector), whereby the risk level of the credit exposure to these activities greatly influences the quality of the credit exposure to companies.</w:t>
      </w:r>
    </w:p>
    <w:p w:rsidR="002A11AC" w:rsidRPr="00E6388E" w:rsidRDefault="00803610" w:rsidP="002A11AC">
      <w:pPr>
        <w:rPr>
          <w:rFonts w:cs="Tahoma"/>
        </w:rPr>
      </w:pPr>
      <w:r w:rsidRPr="00803610">
        <w:rPr>
          <w:rFonts w:cs="Tahoma"/>
          <w:noProof/>
          <w:lang w:val="mk-MK" w:eastAsia="mk-MK"/>
        </w:rPr>
        <w:pict>
          <v:shape id="_x0000_s1162" type="#_x0000_t202" style="position:absolute;left:0;text-align:left;margin-left:-222pt;margin-top:-87.55pt;width:213.7pt;height:206.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" strokecolor="white">
            <v:textbox style="mso-next-textbox:#_x0000_s1162">
              <w:txbxContent>
                <w:p w:rsidR="00280598" w:rsidRPr="00FB0F62" w:rsidRDefault="00280598" w:rsidP="002A11AC">
                  <w:pPr>
                    <w:pStyle w:val="Caption"/>
                    <w:rPr>
                      <w:lang w:val="mk-MK"/>
                    </w:rPr>
                  </w:pPr>
                  <w:r w:rsidRPr="00FB0F62">
                    <w:t xml:space="preserve">Chart </w:t>
                  </w:r>
                  <w:fldSimple w:instr=" SEQ Графикон_бр. \* ARABIC ">
                    <w:r>
                      <w:rPr>
                        <w:noProof/>
                      </w:rPr>
                      <w:t>19</w:t>
                    </w:r>
                  </w:fldSimple>
                </w:p>
                <w:p w:rsidR="00280598" w:rsidRPr="00FB0F62" w:rsidRDefault="00280598" w:rsidP="002A11AC">
                  <w:pPr>
                    <w:pStyle w:val="Caption"/>
                  </w:pPr>
                  <w:r>
                    <w:t>Share of large exposure in banks’ own funds</w:t>
                  </w:r>
                </w:p>
                <w:p w:rsidR="00280598" w:rsidRPr="00FB0F62" w:rsidRDefault="00280598" w:rsidP="002A11AC">
                  <w:pPr>
                    <w:rPr>
                      <w:sz w:val="18"/>
                      <w:szCs w:val="18"/>
                    </w:rPr>
                  </w:pPr>
                  <w:r>
                    <w:rPr>
                      <w:sz w:val="18"/>
                      <w:szCs w:val="18"/>
                    </w:rPr>
                    <w:t>in %</w:t>
                  </w:r>
                </w:p>
                <w:p w:rsidR="00280598" w:rsidRPr="00901E10" w:rsidRDefault="00280598" w:rsidP="002A11AC">
                  <w:pPr>
                    <w:rPr>
                      <w:lang w:val="mk-MK"/>
                    </w:rPr>
                  </w:pPr>
                  <w:r w:rsidRPr="005005ED">
                    <w:rPr>
                      <w:noProof/>
                    </w:rPr>
                    <w:drawing>
                      <wp:inline distT="0" distB="0" distL="0" distR="0">
                        <wp:extent cx="2476500" cy="1559930"/>
                        <wp:effectExtent l="19050" t="0" r="0" b="0"/>
                        <wp:docPr id="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2474008" cy="1558360"/>
                                </a:xfrm>
                                <a:prstGeom prst="rect">
                                  <a:avLst/>
                                </a:prstGeom>
                                <a:noFill/>
                                <a:ln w="9525">
                                  <a:noFill/>
                                  <a:miter lim="800000"/>
                                  <a:headEnd/>
                                  <a:tailEnd/>
                                </a:ln>
                              </pic:spPr>
                            </pic:pic>
                          </a:graphicData>
                        </a:graphic>
                      </wp:inline>
                    </w:drawing>
                  </w:r>
                </w:p>
                <w:p w:rsidR="00280598" w:rsidRDefault="00280598" w:rsidP="002A11AC">
                  <w:pPr>
                    <w:rPr>
                      <w:sz w:val="18"/>
                      <w:szCs w:val="18"/>
                      <w:lang w:val="en-GB"/>
                    </w:rPr>
                  </w:pPr>
                  <w:r w:rsidRPr="00FB0F62">
                    <w:rPr>
                      <w:sz w:val="18"/>
                      <w:szCs w:val="18"/>
                    </w:rPr>
                    <w:t>Source</w:t>
                  </w:r>
                  <w:r w:rsidRPr="00FB0F62">
                    <w:rPr>
                      <w:sz w:val="18"/>
                      <w:szCs w:val="18"/>
                      <w:lang w:val="en-GB"/>
                    </w:rPr>
                    <w:t>: NBRM</w:t>
                  </w:r>
                  <w:r>
                    <w:rPr>
                      <w:sz w:val="18"/>
                      <w:szCs w:val="18"/>
                      <w:lang w:val="en-GB"/>
                    </w:rPr>
                    <w:t xml:space="preserve">, </w:t>
                  </w:r>
                  <w:r w:rsidRPr="00FB0F62">
                    <w:rPr>
                      <w:sz w:val="18"/>
                      <w:szCs w:val="18"/>
                      <w:lang w:val="en-GB"/>
                    </w:rPr>
                    <w:t>based on data submitted by banks.</w:t>
                  </w:r>
                </w:p>
                <w:p w:rsidR="00280598" w:rsidRPr="00D20DE0" w:rsidRDefault="00280598" w:rsidP="002A11AC">
                  <w:pPr>
                    <w:rPr>
                      <w:lang w:val="mk-MK"/>
                    </w:rPr>
                  </w:pPr>
                </w:p>
              </w:txbxContent>
            </v:textbox>
            <w10:wrap type="square"/>
          </v:shape>
        </w:pict>
      </w:r>
    </w:p>
    <w:p w:rsidR="002A11AC" w:rsidRPr="00E6388E" w:rsidRDefault="00803610" w:rsidP="002A11AC">
      <w:pPr>
        <w:ind w:firstLine="720"/>
        <w:rPr>
          <w:rFonts w:cs="Tahoma"/>
        </w:rPr>
      </w:pPr>
      <w:r w:rsidRPr="00803610">
        <w:rPr>
          <w:rFonts w:cs="Tahoma"/>
          <w:noProof/>
          <w:lang w:val="mk-MK" w:eastAsia="mk-MK"/>
        </w:rPr>
        <w:pict>
          <v:shape id="_x0000_s1161" type="#_x0000_t202" style="position:absolute;left:0;text-align:left;margin-left:-223.1pt;margin-top:190.55pt;width:213.7pt;height:246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" strokecolor="white">
            <v:textbox style="mso-next-textbox:#_x0000_s1161">
              <w:txbxContent>
                <w:p w:rsidR="00280598" w:rsidRPr="00FB0F62" w:rsidRDefault="00280598" w:rsidP="002A11AC">
                  <w:pPr>
                    <w:pStyle w:val="Caption"/>
                    <w:rPr>
                      <w:lang w:val="mk-MK"/>
                    </w:rPr>
                  </w:pPr>
                  <w:r w:rsidRPr="00FB0F62">
                    <w:t xml:space="preserve">Chart </w:t>
                  </w:r>
                  <w:fldSimple w:instr=" SEQ Графикон_бр. \* ARABIC ">
                    <w:r>
                      <w:rPr>
                        <w:noProof/>
                      </w:rPr>
                      <w:t>20</w:t>
                    </w:r>
                  </w:fldSimple>
                </w:p>
                <w:p w:rsidR="00280598" w:rsidRPr="00FB0F62" w:rsidRDefault="00280598" w:rsidP="002A11AC">
                  <w:pPr>
                    <w:pStyle w:val="Caption"/>
                  </w:pPr>
                  <w:r>
                    <w:t xml:space="preserve">Structure of credit exposure to individual credit products, by </w:t>
                  </w:r>
                  <w:r w:rsidRPr="00E6388E">
                    <w:rPr>
                      <w:rFonts w:cs="Tahoma"/>
                    </w:rPr>
                    <w:t>monthly income of borrowers</w:t>
                  </w:r>
                  <w:r>
                    <w:rPr>
                      <w:rFonts w:cs="Tahoma"/>
                    </w:rPr>
                    <w:t xml:space="preserve"> (natural persons)</w:t>
                  </w:r>
                </w:p>
                <w:p w:rsidR="00280598" w:rsidRPr="00FB0F62" w:rsidRDefault="00280598" w:rsidP="002A11AC">
                  <w:pPr>
                    <w:rPr>
                      <w:sz w:val="18"/>
                      <w:szCs w:val="18"/>
                    </w:rPr>
                  </w:pPr>
                  <w:r>
                    <w:rPr>
                      <w:sz w:val="18"/>
                      <w:szCs w:val="18"/>
                    </w:rPr>
                    <w:t>in % and in denars</w:t>
                  </w:r>
                </w:p>
                <w:p w:rsidR="00280598" w:rsidRPr="00901E10" w:rsidRDefault="00280598" w:rsidP="002A11AC">
                  <w:pPr>
                    <w:rPr>
                      <w:lang w:val="mk-MK"/>
                    </w:rPr>
                  </w:pPr>
                  <w:r w:rsidRPr="000D63FB">
                    <w:rPr>
                      <w:noProof/>
                    </w:rPr>
                    <w:drawing>
                      <wp:inline distT="0" distB="0" distL="0" distR="0">
                        <wp:extent cx="2457450" cy="1914525"/>
                        <wp:effectExtent l="19050" t="0" r="0" b="0"/>
                        <wp:docPr id="1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2457625" cy="1914661"/>
                                </a:xfrm>
                                <a:prstGeom prst="rect">
                                  <a:avLst/>
                                </a:prstGeom>
                                <a:noFill/>
                                <a:ln w="9525">
                                  <a:noFill/>
                                  <a:miter lim="800000"/>
                                  <a:headEnd/>
                                  <a:tailEnd/>
                                </a:ln>
                              </pic:spPr>
                            </pic:pic>
                          </a:graphicData>
                        </a:graphic>
                      </wp:inline>
                    </w:drawing>
                  </w:r>
                </w:p>
                <w:p w:rsidR="00280598" w:rsidRDefault="00280598" w:rsidP="002A11AC">
                  <w:pPr>
                    <w:rPr>
                      <w:sz w:val="18"/>
                      <w:szCs w:val="18"/>
                      <w:lang w:val="en-GB"/>
                    </w:rPr>
                  </w:pPr>
                  <w:r w:rsidRPr="00FB0F62">
                    <w:rPr>
                      <w:sz w:val="18"/>
                      <w:szCs w:val="18"/>
                    </w:rPr>
                    <w:t>Source</w:t>
                  </w:r>
                  <w:r w:rsidRPr="00FB0F62">
                    <w:rPr>
                      <w:sz w:val="18"/>
                      <w:szCs w:val="18"/>
                      <w:lang w:val="en-GB"/>
                    </w:rPr>
                    <w:t>: NBRM</w:t>
                  </w:r>
                  <w:r>
                    <w:rPr>
                      <w:sz w:val="18"/>
                      <w:szCs w:val="18"/>
                      <w:lang w:val="en-GB"/>
                    </w:rPr>
                    <w:t xml:space="preserve">, </w:t>
                  </w:r>
                  <w:r w:rsidRPr="00FB0F62">
                    <w:rPr>
                      <w:sz w:val="18"/>
                      <w:szCs w:val="18"/>
                      <w:lang w:val="en-GB"/>
                    </w:rPr>
                    <w:t>based on data submitted by banks.</w:t>
                  </w:r>
                </w:p>
                <w:p w:rsidR="00280598" w:rsidRPr="00D20DE0" w:rsidRDefault="00280598" w:rsidP="002A11AC">
                  <w:pPr>
                    <w:rPr>
                      <w:lang w:val="mk-MK"/>
                    </w:rPr>
                  </w:pPr>
                </w:p>
              </w:txbxContent>
            </v:textbox>
            <w10:wrap type="square"/>
          </v:shape>
        </w:pict>
      </w:r>
      <w:r w:rsidR="002A11AC" w:rsidRPr="00E6388E">
        <w:rPr>
          <w:rFonts w:cs="Tahoma"/>
        </w:rPr>
        <w:t xml:space="preserve">During 2013, banks directed a significant part of their credit support toward households, which increased the average debt per person (debtors only) from Denar 96 thousand to Denar 102 thousand, annually. As of December 31, 2013, the majority of the credit exposure accounts for persons with monthly income of up to Denar 30.000. They account for two-thirds of the total banks' exposure to natural persons and 72.5% of the total exposure intended for consumption (Annex 26), which in view of the average net salary in the Republic of Macedonia (Denar 21,146 in 2013) could be regarded as expected. Analyzed by individual persons, most indebted are natural persons with monthly income above Denar 100,000 (average debt of Denar 578 thousand per person), which is a result of the banks' adjustments of the amount of debt to the amount of the monthly income of natural persons. With these persons, the average debt per person has increased by nearly 50% compared to the end of 2012. Based on the data obtained from banks, in 2013 several banks eased the requirement for the ratio of the credit exposure to the amount of the monthly income of borrowers, which further explains the growth of loans to households. The average monthly liability per person, depending on the loan product ranges between Denar 3.5 thousand (for credit cards and overdrafts on current accounts) and Denar 11.1 thousand (for loans for purchasing and renovation of residential and commercial properties). </w:t>
      </w:r>
    </w:p>
    <w:p w:rsidR="002A11AC" w:rsidRPr="00E6388E" w:rsidRDefault="002A11AC" w:rsidP="002A11AC">
      <w:pPr>
        <w:rPr>
          <w:rFonts w:cs="Tahoma"/>
        </w:rPr>
      </w:pPr>
      <w:r w:rsidRPr="00E6388E">
        <w:rPr>
          <w:rFonts w:cs="Tahoma"/>
        </w:rPr>
        <w:tab/>
        <w:t xml:space="preserve"> </w:t>
      </w:r>
    </w:p>
    <w:p w:rsidR="002A11AC" w:rsidRPr="00E6388E" w:rsidRDefault="002A11AC" w:rsidP="00C5550A">
      <w:pPr>
        <w:pStyle w:val="Heading3"/>
      </w:pPr>
      <w:bookmarkStart w:id="10" w:name="_Toc393283589"/>
      <w:r w:rsidRPr="00E6388E">
        <w:t>Stress-test simulation of the sensitivity of the banking system to increased credit risk</w:t>
      </w:r>
      <w:bookmarkEnd w:id="10"/>
    </w:p>
    <w:p w:rsidR="002A11AC" w:rsidRPr="00E6388E" w:rsidRDefault="002A11AC" w:rsidP="002A11AC">
      <w:pPr>
        <w:rPr>
          <w:rFonts w:cs="Tahoma"/>
        </w:rPr>
      </w:pPr>
    </w:p>
    <w:p w:rsidR="002A11AC" w:rsidRPr="00E6388E" w:rsidRDefault="002A11AC" w:rsidP="002A11AC">
      <w:pPr>
        <w:rPr>
          <w:rFonts w:cs="Tahoma"/>
        </w:rPr>
      </w:pPr>
      <w:r w:rsidRPr="00E6388E">
        <w:rPr>
          <w:rFonts w:cs="Tahoma"/>
        </w:rPr>
        <w:tab/>
        <w:t xml:space="preserve">In order to examine the sensitivity of the banking system to deterioration of the quality of </w:t>
      </w:r>
      <w:r w:rsidRPr="00E6388E">
        <w:rPr>
          <w:rFonts w:cs="Tahoma"/>
        </w:rPr>
        <w:lastRenderedPageBreak/>
        <w:t>certain loan portfolio segments, regular stress-tests are conducted. They consist of simulations of hypothetical migration of 10% (first simulation) and 30% (second simulation) of credit exposure to companies (by activity) and households (by credit products), separately, and to the two sectors together, to the next two higher risk categories. The results of the simulations show that the resilience of the banking system to the simulated shocks is maintained. Compared with the previous year, there is certain deterioration in the results of individual banks. In both simulations for the different activities, the greatest reduction in the capital adequacy ratio is noticeable in the deterioration of the creditworthiness of the customers from "industry" and "wholesale and retail trade", followed by "construction".</w:t>
      </w:r>
    </w:p>
    <w:p w:rsidR="002A11AC" w:rsidRPr="00E6388E" w:rsidRDefault="00803610" w:rsidP="002A11AC">
      <w:pPr>
        <w:rPr>
          <w:rFonts w:cs="Tahoma"/>
        </w:rPr>
      </w:pPr>
      <w:r w:rsidRPr="00803610">
        <w:rPr>
          <w:rFonts w:cs="Tahoma"/>
          <w:noProof/>
          <w:lang w:val="mk-MK" w:eastAsia="mk-MK"/>
        </w:rPr>
        <w:pict>
          <v:shape id="_x0000_s1163" type="#_x0000_t202" style="position:absolute;left:0;text-align:left;margin-left:-223.5pt;margin-top:-234.35pt;width:213.7pt;height:374.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" strokecolor="white">
            <v:textbox style="mso-next-textbox:#_x0000_s1163">
              <w:txbxContent>
                <w:p w:rsidR="00280598" w:rsidRPr="00FB0F62" w:rsidRDefault="00280598" w:rsidP="002A11AC">
                  <w:pPr>
                    <w:pStyle w:val="Caption"/>
                    <w:rPr>
                      <w:lang w:val="mk-MK"/>
                    </w:rPr>
                  </w:pPr>
                  <w:r w:rsidRPr="00FB0F62">
                    <w:t xml:space="preserve">Chart </w:t>
                  </w:r>
                  <w:fldSimple w:instr=" SEQ Графикон_бр. \* ARABIC ">
                    <w:r>
                      <w:rPr>
                        <w:noProof/>
                      </w:rPr>
                      <w:t>21</w:t>
                    </w:r>
                  </w:fldSimple>
                </w:p>
                <w:p w:rsidR="00280598" w:rsidRPr="00FB0F62" w:rsidRDefault="00280598" w:rsidP="002A11AC">
                  <w:pPr>
                    <w:pStyle w:val="Caption"/>
                  </w:pPr>
                  <w:r>
                    <w:t>Capital adequacy ratio, before and after first (up) and second (down) simulation, by activity</w:t>
                  </w:r>
                </w:p>
                <w:p w:rsidR="00280598" w:rsidRPr="00FB0F62" w:rsidRDefault="00280598" w:rsidP="002A11AC">
                  <w:pPr>
                    <w:rPr>
                      <w:sz w:val="18"/>
                      <w:szCs w:val="18"/>
                    </w:rPr>
                  </w:pPr>
                  <w:r>
                    <w:rPr>
                      <w:sz w:val="18"/>
                      <w:szCs w:val="18"/>
                    </w:rPr>
                    <w:t>in %</w:t>
                  </w:r>
                </w:p>
                <w:p w:rsidR="00280598" w:rsidRPr="00901E10" w:rsidRDefault="00280598" w:rsidP="002A11AC">
                  <w:pPr>
                    <w:rPr>
                      <w:lang w:val="mk-MK"/>
                    </w:rPr>
                  </w:pPr>
                  <w:r w:rsidRPr="004E2993">
                    <w:rPr>
                      <w:noProof/>
                      <w:bdr w:val="single" w:sz="4" w:space="0" w:color="auto"/>
                    </w:rPr>
                    <w:drawing>
                      <wp:inline distT="0" distB="0" distL="0" distR="0">
                        <wp:extent cx="2524125" cy="3533775"/>
                        <wp:effectExtent l="19050" t="0" r="9525" b="0"/>
                        <wp:docPr id="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2521585" cy="3530219"/>
                                </a:xfrm>
                                <a:prstGeom prst="rect">
                                  <a:avLst/>
                                </a:prstGeom>
                                <a:noFill/>
                                <a:ln w="9525">
                                  <a:noFill/>
                                  <a:miter lim="800000"/>
                                  <a:headEnd/>
                                  <a:tailEnd/>
                                </a:ln>
                              </pic:spPr>
                            </pic:pic>
                          </a:graphicData>
                        </a:graphic>
                      </wp:inline>
                    </w:drawing>
                  </w:r>
                </w:p>
                <w:p w:rsidR="00280598" w:rsidRDefault="00280598" w:rsidP="002A11AC">
                  <w:pPr>
                    <w:rPr>
                      <w:sz w:val="18"/>
                      <w:szCs w:val="18"/>
                      <w:lang w:val="en-GB"/>
                    </w:rPr>
                  </w:pPr>
                  <w:r w:rsidRPr="00FB0F62">
                    <w:rPr>
                      <w:sz w:val="18"/>
                      <w:szCs w:val="18"/>
                    </w:rPr>
                    <w:t>Source</w:t>
                  </w:r>
                  <w:r w:rsidRPr="00FB0F62">
                    <w:rPr>
                      <w:sz w:val="18"/>
                      <w:szCs w:val="18"/>
                      <w:lang w:val="en-GB"/>
                    </w:rPr>
                    <w:t>: NBRM</w:t>
                  </w:r>
                  <w:r>
                    <w:rPr>
                      <w:sz w:val="18"/>
                      <w:szCs w:val="18"/>
                      <w:lang w:val="en-GB"/>
                    </w:rPr>
                    <w:t xml:space="preserve">, </w:t>
                  </w:r>
                  <w:r w:rsidRPr="00FB0F62">
                    <w:rPr>
                      <w:sz w:val="18"/>
                      <w:szCs w:val="18"/>
                      <w:lang w:val="en-GB"/>
                    </w:rPr>
                    <w:t>based on data submitted by banks.</w:t>
                  </w:r>
                </w:p>
                <w:p w:rsidR="00280598" w:rsidRPr="00D20DE0" w:rsidRDefault="00280598" w:rsidP="002A11AC">
                  <w:pPr>
                    <w:rPr>
                      <w:lang w:val="mk-MK"/>
                    </w:rPr>
                  </w:pPr>
                </w:p>
              </w:txbxContent>
            </v:textbox>
            <w10:wrap type="square"/>
          </v:shape>
        </w:pict>
      </w:r>
    </w:p>
    <w:p w:rsidR="002A11AC" w:rsidRPr="00E6388E" w:rsidRDefault="002A11AC" w:rsidP="002A11AC">
      <w:pPr>
        <w:ind w:firstLine="720"/>
        <w:rPr>
          <w:rFonts w:cs="Tahoma"/>
        </w:rPr>
      </w:pPr>
      <w:r w:rsidRPr="00E6388E">
        <w:rPr>
          <w:rFonts w:cs="Tahoma"/>
        </w:rPr>
        <w:t>The concentration of credit exposure measured by the Herfindahl index is the highest and above the acceptable limits</w:t>
      </w:r>
      <w:r w:rsidRPr="00E6388E">
        <w:rPr>
          <w:rStyle w:val="FootnoteReference"/>
          <w:rFonts w:cs="Tahoma"/>
        </w:rPr>
        <w:footnoteReference w:id="19"/>
      </w:r>
      <w:r w:rsidRPr="00E6388E">
        <w:rPr>
          <w:rFonts w:cs="Tahoma"/>
        </w:rPr>
        <w:t xml:space="preserve"> with "industry", which corresponds to the largest reduction in the capital adequacy ratio of the banking system during the simulations conducted for the customers in this activity. Capital adequacy ratio is also significantly reduced in the two simulations of customers in "construction". The importance of the credit exposure to this activity for the quality of the loan portfolio of the banking system is confirmed also by the high concentration of the credit exposure to this activity (which is also above the permitted level according to the Herfindahl index) and the fact that the construction sector is one of the drivers of growth of the domestic economy in 2013. </w:t>
      </w:r>
    </w:p>
    <w:p w:rsidR="002A11AC" w:rsidRPr="00E6388E" w:rsidRDefault="002A11AC" w:rsidP="002A11AC">
      <w:pPr>
        <w:rPr>
          <w:rFonts w:cs="Tahoma"/>
        </w:rPr>
      </w:pPr>
    </w:p>
    <w:p w:rsidR="002A11AC" w:rsidRPr="004619D6" w:rsidRDefault="002A11AC" w:rsidP="004619D6">
      <w:pPr>
        <w:pStyle w:val="Header"/>
        <w:pBdr>
          <w:top w:val="single" w:sz="4" w:space="1" w:color="auto"/>
          <w:left w:val="single" w:sz="4" w:space="4" w:color="auto"/>
          <w:bottom w:val="single" w:sz="4" w:space="1" w:color="auto"/>
          <w:right w:val="single" w:sz="4" w:space="4" w:color="auto"/>
        </w:pBdr>
        <w:tabs>
          <w:tab w:val="left" w:pos="-4395"/>
        </w:tabs>
        <w:ind w:left="-4536"/>
        <w:jc w:val="center"/>
        <w:rPr>
          <w:rFonts w:eastAsia="Times New Roman" w:cs="Tahoma"/>
          <w:b/>
          <w:spacing w:val="5"/>
          <w:kern w:val="28"/>
        </w:rPr>
      </w:pPr>
      <w:r w:rsidRPr="004619D6">
        <w:rPr>
          <w:rFonts w:eastAsia="Times New Roman" w:cs="Tahoma"/>
          <w:b/>
          <w:spacing w:val="5"/>
          <w:kern w:val="28"/>
        </w:rPr>
        <w:t>New regulations on credit risk management</w:t>
      </w:r>
    </w:p>
    <w:p w:rsidR="002A11AC" w:rsidRPr="004619D6" w:rsidRDefault="002A11AC" w:rsidP="002A11AC">
      <w:pPr>
        <w:pStyle w:val="Header"/>
        <w:pBdr>
          <w:top w:val="single" w:sz="4" w:space="1" w:color="auto"/>
          <w:left w:val="single" w:sz="4" w:space="4" w:color="auto"/>
          <w:bottom w:val="single" w:sz="4" w:space="1" w:color="auto"/>
          <w:right w:val="single" w:sz="4" w:space="4" w:color="auto"/>
        </w:pBdr>
        <w:tabs>
          <w:tab w:val="left" w:pos="-4395"/>
        </w:tabs>
        <w:ind w:left="-4536"/>
        <w:rPr>
          <w:rFonts w:eastAsia="Times New Roman" w:cs="Tahoma"/>
          <w:b/>
          <w:spacing w:val="5"/>
          <w:kern w:val="28"/>
        </w:rPr>
      </w:pPr>
    </w:p>
    <w:p w:rsidR="002A11AC" w:rsidRPr="004619D6" w:rsidRDefault="002A11AC" w:rsidP="002A11AC">
      <w:pPr>
        <w:pStyle w:val="Header"/>
        <w:pBdr>
          <w:top w:val="single" w:sz="4" w:space="1" w:color="auto"/>
          <w:left w:val="single" w:sz="4" w:space="4" w:color="auto"/>
          <w:bottom w:val="single" w:sz="4" w:space="1" w:color="auto"/>
          <w:right w:val="single" w:sz="4" w:space="4" w:color="auto"/>
        </w:pBdr>
        <w:tabs>
          <w:tab w:val="left" w:pos="-4395"/>
        </w:tabs>
        <w:ind w:left="-4536"/>
        <w:rPr>
          <w:rFonts w:eastAsia="Times New Roman" w:cs="Tahoma"/>
          <w:spacing w:val="5"/>
          <w:kern w:val="28"/>
        </w:rPr>
      </w:pPr>
      <w:r w:rsidRPr="004619D6">
        <w:rPr>
          <w:rFonts w:eastAsia="Times New Roman" w:cs="Tahoma"/>
          <w:spacing w:val="5"/>
          <w:kern w:val="28"/>
        </w:rPr>
        <w:t>In March 2013 a new Decision on Credit Risk Management was adopted, which came into force on December 1, 2013. The most significant novelties in the Decision are related to:</w:t>
      </w:r>
    </w:p>
    <w:p w:rsidR="002A11AC" w:rsidRPr="004619D6" w:rsidRDefault="002A11AC" w:rsidP="002A11AC">
      <w:pPr>
        <w:pStyle w:val="Header"/>
        <w:pBdr>
          <w:top w:val="single" w:sz="4" w:space="1" w:color="auto"/>
          <w:left w:val="single" w:sz="4" w:space="4" w:color="auto"/>
          <w:bottom w:val="single" w:sz="4" w:space="1" w:color="auto"/>
          <w:right w:val="single" w:sz="4" w:space="4" w:color="auto"/>
        </w:pBdr>
        <w:tabs>
          <w:tab w:val="left" w:pos="-4395"/>
        </w:tabs>
        <w:ind w:left="-4536"/>
        <w:rPr>
          <w:rFonts w:eastAsia="Times New Roman" w:cs="Tahoma"/>
          <w:spacing w:val="5"/>
          <w:kern w:val="28"/>
        </w:rPr>
      </w:pPr>
    </w:p>
    <w:p w:rsidR="002A11AC" w:rsidRPr="004619D6" w:rsidRDefault="002A11AC" w:rsidP="002A11AC">
      <w:pPr>
        <w:pStyle w:val="Header"/>
        <w:pBdr>
          <w:top w:val="single" w:sz="4" w:space="1" w:color="auto"/>
          <w:left w:val="single" w:sz="4" w:space="4" w:color="auto"/>
          <w:bottom w:val="single" w:sz="4" w:space="1" w:color="auto"/>
          <w:right w:val="single" w:sz="4" w:space="4" w:color="auto"/>
        </w:pBdr>
        <w:tabs>
          <w:tab w:val="left" w:pos="-4395"/>
        </w:tabs>
        <w:ind w:left="-4536"/>
        <w:rPr>
          <w:rFonts w:eastAsia="Times New Roman" w:cs="Tahoma"/>
          <w:spacing w:val="5"/>
          <w:kern w:val="28"/>
        </w:rPr>
      </w:pPr>
      <w:r w:rsidRPr="004619D6">
        <w:rPr>
          <w:rFonts w:eastAsia="Times New Roman" w:cs="Tahoma"/>
          <w:b/>
          <w:spacing w:val="5"/>
          <w:kern w:val="28"/>
        </w:rPr>
        <w:t>1. Changes in the classification of credit exposures on an individual basis.</w:t>
      </w:r>
      <w:r w:rsidRPr="004619D6">
        <w:rPr>
          <w:rFonts w:eastAsia="Times New Roman" w:cs="Tahoma"/>
          <w:spacing w:val="5"/>
          <w:kern w:val="28"/>
        </w:rPr>
        <w:t xml:space="preserve"> The Decision imposed an obligation for monthly classification of credit exposures in the appropriate risk category, replacing the previous quarterly classification. Banks are still required to perform the classification, taking into account the creditworthiness of the </w:t>
      </w:r>
      <w:r w:rsidRPr="004619D6">
        <w:rPr>
          <w:rFonts w:eastAsia="Times New Roman" w:cs="Tahoma"/>
          <w:spacing w:val="5"/>
          <w:kern w:val="28"/>
        </w:rPr>
        <w:lastRenderedPageBreak/>
        <w:t>customer, the orderly settlement of liabilities and the type of security, with generally retained criteria for evaluation of these three elements. However, the Decision specifies the time when the banks perform the mandatory assessment of the customers' creditworthiness: (1) for customers - legal entities: at the time of approval of the credit exposure; at least once in six months or more often, due to the emergence of the general indicators of impairment and in the event of restructuring or refinancing of the claim/claims and (2) for customers - natural persons: at the time of approval of the credit exposure and in the event of restructuring or refinancing of the claim/claims.</w:t>
      </w:r>
    </w:p>
    <w:p w:rsidR="002A11AC" w:rsidRPr="004619D6" w:rsidRDefault="002A11AC" w:rsidP="002A11AC">
      <w:pPr>
        <w:pStyle w:val="Header"/>
        <w:pBdr>
          <w:top w:val="single" w:sz="4" w:space="1" w:color="auto"/>
          <w:left w:val="single" w:sz="4" w:space="4" w:color="auto"/>
          <w:bottom w:val="single" w:sz="4" w:space="1" w:color="auto"/>
          <w:right w:val="single" w:sz="4" w:space="4" w:color="auto"/>
        </w:pBdr>
        <w:tabs>
          <w:tab w:val="left" w:pos="-4395"/>
        </w:tabs>
        <w:ind w:left="-4536"/>
        <w:rPr>
          <w:rFonts w:eastAsia="Times New Roman" w:cs="Tahoma"/>
          <w:spacing w:val="5"/>
          <w:kern w:val="28"/>
        </w:rPr>
      </w:pPr>
    </w:p>
    <w:p w:rsidR="002A11AC" w:rsidRPr="004619D6" w:rsidRDefault="002A11AC" w:rsidP="002A11AC">
      <w:pPr>
        <w:pStyle w:val="Header"/>
        <w:pBdr>
          <w:top w:val="single" w:sz="4" w:space="1" w:color="auto"/>
          <w:left w:val="single" w:sz="4" w:space="4" w:color="auto"/>
          <w:bottom w:val="single" w:sz="4" w:space="1" w:color="auto"/>
          <w:right w:val="single" w:sz="4" w:space="4" w:color="auto"/>
        </w:pBdr>
        <w:tabs>
          <w:tab w:val="left" w:pos="-4395"/>
        </w:tabs>
        <w:ind w:left="-4536"/>
        <w:rPr>
          <w:rFonts w:eastAsia="Times New Roman" w:cs="Tahoma"/>
          <w:spacing w:val="5"/>
          <w:kern w:val="28"/>
        </w:rPr>
      </w:pPr>
      <w:r w:rsidRPr="004619D6">
        <w:rPr>
          <w:rFonts w:eastAsia="Times New Roman" w:cs="Tahoma"/>
          <w:spacing w:val="5"/>
          <w:kern w:val="28"/>
        </w:rPr>
        <w:t>Regarding the orderly settlement of liabilities, a change was made in the days of delay on the basis of which banks, among other things, perform classification of the claims in risk category "E". If the liabilities on the basis of certain exposure are settled with over 241 days of delay, that exposure is classified in the worst risk category ("E"). In the earlier Decision, this limit was 270 days. Appropriate reduction was made also in the ceiling for the days of delay in risk category "D".</w:t>
      </w:r>
    </w:p>
    <w:p w:rsidR="002A11AC" w:rsidRPr="004619D6" w:rsidRDefault="002A11AC" w:rsidP="002A11AC">
      <w:pPr>
        <w:pStyle w:val="Header"/>
        <w:pBdr>
          <w:top w:val="single" w:sz="4" w:space="1" w:color="auto"/>
          <w:left w:val="single" w:sz="4" w:space="4" w:color="auto"/>
          <w:bottom w:val="single" w:sz="4" w:space="1" w:color="auto"/>
          <w:right w:val="single" w:sz="4" w:space="4" w:color="auto"/>
        </w:pBdr>
        <w:tabs>
          <w:tab w:val="left" w:pos="-4395"/>
        </w:tabs>
        <w:ind w:left="-4536"/>
        <w:rPr>
          <w:rFonts w:eastAsia="Times New Roman" w:cs="Tahoma"/>
          <w:spacing w:val="5"/>
          <w:kern w:val="28"/>
        </w:rPr>
      </w:pPr>
    </w:p>
    <w:p w:rsidR="002A11AC" w:rsidRPr="004619D6" w:rsidRDefault="002A11AC" w:rsidP="002A11AC">
      <w:pPr>
        <w:pStyle w:val="Header"/>
        <w:pBdr>
          <w:top w:val="single" w:sz="4" w:space="1" w:color="auto"/>
          <w:left w:val="single" w:sz="4" w:space="4" w:color="auto"/>
          <w:bottom w:val="single" w:sz="4" w:space="1" w:color="auto"/>
          <w:right w:val="single" w:sz="4" w:space="4" w:color="auto"/>
        </w:pBdr>
        <w:tabs>
          <w:tab w:val="left" w:pos="-4395"/>
        </w:tabs>
        <w:ind w:left="-4536"/>
        <w:rPr>
          <w:rFonts w:eastAsia="Times New Roman" w:cs="Tahoma"/>
          <w:spacing w:val="5"/>
          <w:kern w:val="28"/>
        </w:rPr>
      </w:pPr>
      <w:r w:rsidRPr="004619D6">
        <w:rPr>
          <w:rFonts w:eastAsia="Times New Roman" w:cs="Tahoma"/>
          <w:spacing w:val="5"/>
          <w:kern w:val="28"/>
        </w:rPr>
        <w:t>The Decision specifies the types of collateral that can be taken into account in the classification of a particular exposure and when determining the impairment/special reserve. Only premium-quality collateral can be taken into account in the classification of a particular claim, i.e. that claim may be classified in risk category "A". All other types of collateral can not be taken into account in the classification of credit exposures. On the other hand, for the credit exposures classified in risk categories "D" and "E", the bank may consider the collateral value when determining the impairment/special reserve, if it is a first-class collateral, pledge of residential facility or business premises, or pledge of claims on the Republic of Macedonia. The Decision specifies the criteria that these forms of collateral need to meet and value under which they may be included in the discounting of cash flows.</w:t>
      </w:r>
    </w:p>
    <w:p w:rsidR="002A11AC" w:rsidRPr="004619D6" w:rsidRDefault="002A11AC" w:rsidP="002A11AC">
      <w:pPr>
        <w:pStyle w:val="Header"/>
        <w:pBdr>
          <w:top w:val="single" w:sz="4" w:space="1" w:color="auto"/>
          <w:left w:val="single" w:sz="4" w:space="4" w:color="auto"/>
          <w:bottom w:val="single" w:sz="4" w:space="1" w:color="auto"/>
          <w:right w:val="single" w:sz="4" w:space="4" w:color="auto"/>
        </w:pBdr>
        <w:tabs>
          <w:tab w:val="left" w:pos="-4395"/>
        </w:tabs>
        <w:ind w:left="-4536"/>
        <w:rPr>
          <w:rFonts w:eastAsia="Times New Roman" w:cs="Tahoma"/>
          <w:spacing w:val="5"/>
          <w:kern w:val="28"/>
        </w:rPr>
      </w:pPr>
    </w:p>
    <w:p w:rsidR="002A11AC" w:rsidRPr="004619D6" w:rsidRDefault="002A11AC" w:rsidP="002A11AC">
      <w:pPr>
        <w:pStyle w:val="Header"/>
        <w:pBdr>
          <w:top w:val="single" w:sz="4" w:space="1" w:color="auto"/>
          <w:left w:val="single" w:sz="4" w:space="4" w:color="auto"/>
          <w:bottom w:val="single" w:sz="4" w:space="1" w:color="auto"/>
          <w:right w:val="single" w:sz="4" w:space="4" w:color="auto"/>
        </w:pBdr>
        <w:tabs>
          <w:tab w:val="left" w:pos="-4395"/>
        </w:tabs>
        <w:ind w:left="-4536"/>
        <w:rPr>
          <w:rFonts w:eastAsia="Times New Roman" w:cs="Tahoma"/>
          <w:spacing w:val="5"/>
          <w:kern w:val="28"/>
        </w:rPr>
      </w:pPr>
      <w:r w:rsidRPr="004619D6">
        <w:rPr>
          <w:rFonts w:eastAsia="Times New Roman" w:cs="Tahoma"/>
          <w:b/>
          <w:spacing w:val="5"/>
          <w:kern w:val="28"/>
        </w:rPr>
        <w:t xml:space="preserve">2. Changes in the classification of credit exposures on a group basis. </w:t>
      </w:r>
      <w:r w:rsidRPr="004619D6">
        <w:rPr>
          <w:rFonts w:eastAsia="Times New Roman" w:cs="Tahoma"/>
          <w:spacing w:val="5"/>
          <w:kern w:val="28"/>
        </w:rPr>
        <w:t>Previous regulations allowed banks to classify exposures on a group basis, but did not provide sufficiently clear guidance regarding the manner in which classification is performed, i.e. the impairment/special reserve is allocated. The new Decision specifies the method of determining the impairment, i.e. the special reserve for exposures that are part of the loan portfolio, by defining the rate of expected loss</w:t>
      </w:r>
      <w:r w:rsidRPr="004619D6">
        <w:rPr>
          <w:rStyle w:val="FootnoteReference"/>
          <w:rFonts w:cs="Tahoma"/>
        </w:rPr>
        <w:footnoteReference w:id="20"/>
      </w:r>
      <w:r w:rsidRPr="004619D6">
        <w:rPr>
          <w:rFonts w:eastAsia="Times New Roman" w:cs="Tahoma"/>
          <w:spacing w:val="5"/>
          <w:kern w:val="28"/>
        </w:rPr>
        <w:t>. Also, it precisely defines the credit exposures that may be part of the loan portfolio</w:t>
      </w:r>
      <w:r w:rsidRPr="004619D6">
        <w:rPr>
          <w:rStyle w:val="FootnoteReference"/>
          <w:rFonts w:cs="Tahoma"/>
        </w:rPr>
        <w:footnoteReference w:id="21"/>
      </w:r>
      <w:r w:rsidRPr="004619D6">
        <w:rPr>
          <w:rFonts w:eastAsia="Times New Roman" w:cs="Tahoma"/>
          <w:spacing w:val="5"/>
          <w:kern w:val="28"/>
        </w:rPr>
        <w:t xml:space="preserve"> and increases the amount of the credit exposure that can be classified on a group basis (from 33% to 50% of bank's total credit exposure</w:t>
      </w:r>
      <w:r w:rsidRPr="004619D6">
        <w:rPr>
          <w:rStyle w:val="FootnoteReference"/>
          <w:rFonts w:cs="Tahoma"/>
        </w:rPr>
        <w:footnoteReference w:id="22"/>
      </w:r>
      <w:r w:rsidRPr="004619D6">
        <w:rPr>
          <w:rFonts w:eastAsia="Times New Roman" w:cs="Tahoma"/>
          <w:spacing w:val="5"/>
          <w:kern w:val="28"/>
        </w:rPr>
        <w:t>).</w:t>
      </w:r>
    </w:p>
    <w:p w:rsidR="002A11AC" w:rsidRPr="004619D6" w:rsidRDefault="002A11AC" w:rsidP="002A11AC">
      <w:pPr>
        <w:pStyle w:val="Header"/>
        <w:pBdr>
          <w:top w:val="single" w:sz="4" w:space="1" w:color="auto"/>
          <w:left w:val="single" w:sz="4" w:space="4" w:color="auto"/>
          <w:bottom w:val="single" w:sz="4" w:space="1" w:color="auto"/>
          <w:right w:val="single" w:sz="4" w:space="4" w:color="auto"/>
        </w:pBdr>
        <w:tabs>
          <w:tab w:val="left" w:pos="-4395"/>
        </w:tabs>
        <w:ind w:left="-4536"/>
        <w:rPr>
          <w:rFonts w:eastAsia="Times New Roman" w:cs="Tahoma"/>
          <w:spacing w:val="5"/>
          <w:kern w:val="28"/>
        </w:rPr>
      </w:pPr>
    </w:p>
    <w:p w:rsidR="002A11AC" w:rsidRPr="004619D6" w:rsidRDefault="002A11AC" w:rsidP="002A11AC">
      <w:pPr>
        <w:pStyle w:val="Header"/>
        <w:pBdr>
          <w:top w:val="single" w:sz="4" w:space="1" w:color="auto"/>
          <w:left w:val="single" w:sz="4" w:space="4" w:color="auto"/>
          <w:bottom w:val="single" w:sz="4" w:space="1" w:color="auto"/>
          <w:right w:val="single" w:sz="4" w:space="4" w:color="auto"/>
        </w:pBdr>
        <w:tabs>
          <w:tab w:val="left" w:pos="-4395"/>
        </w:tabs>
        <w:ind w:left="-4536"/>
        <w:rPr>
          <w:rFonts w:eastAsia="Times New Roman" w:cs="Tahoma"/>
          <w:spacing w:val="5"/>
          <w:kern w:val="28"/>
        </w:rPr>
      </w:pPr>
      <w:r w:rsidRPr="004619D6">
        <w:rPr>
          <w:rFonts w:eastAsia="Times New Roman" w:cs="Tahoma"/>
          <w:b/>
          <w:spacing w:val="5"/>
          <w:kern w:val="28"/>
        </w:rPr>
        <w:lastRenderedPageBreak/>
        <w:t>3. Changes in the definition of non-performing claims.</w:t>
      </w:r>
      <w:r w:rsidRPr="004619D6">
        <w:rPr>
          <w:rFonts w:eastAsia="Times New Roman" w:cs="Tahoma"/>
          <w:spacing w:val="5"/>
          <w:kern w:val="28"/>
        </w:rPr>
        <w:t xml:space="preserve"> Any credit exposure which is classified in risk categories "D" and "E" and exposure classified in risk category "C", which on any basis is past due for more than 90 days from the date of maturity, remains to be considered a non-performing claim. However, the Decision provides an opportunity for banks to use the materiality threshold for transfer of credit exposures classified in risk category "C" into the category of non-performing claims</w:t>
      </w:r>
      <w:r w:rsidRPr="004619D6">
        <w:rPr>
          <w:rStyle w:val="FootnoteReference"/>
          <w:rFonts w:cs="Tahoma"/>
        </w:rPr>
        <w:footnoteReference w:id="23"/>
      </w:r>
      <w:r w:rsidRPr="004619D6">
        <w:rPr>
          <w:rFonts w:eastAsia="Times New Roman" w:cs="Tahoma"/>
          <w:spacing w:val="5"/>
          <w:kern w:val="28"/>
        </w:rPr>
        <w:t>.  The bank shall be required to regulate the application of the materiality threshold in its internal regulations, and to apply it to all exposures. The Decision also gives the bank the opportunity to exclude the claims for which the full amount that is past due for more than 31 days has been collected from the category of non-performing claims, unlike the previous requirement for full settlement of the amount due in order to be excluded from this category.</w:t>
      </w:r>
    </w:p>
    <w:p w:rsidR="002A11AC" w:rsidRPr="004619D6" w:rsidRDefault="002A11AC" w:rsidP="002A11AC">
      <w:pPr>
        <w:pStyle w:val="Header"/>
        <w:pBdr>
          <w:top w:val="single" w:sz="4" w:space="1" w:color="auto"/>
          <w:left w:val="single" w:sz="4" w:space="4" w:color="auto"/>
          <w:bottom w:val="single" w:sz="4" w:space="1" w:color="auto"/>
          <w:right w:val="single" w:sz="4" w:space="4" w:color="auto"/>
        </w:pBdr>
        <w:tabs>
          <w:tab w:val="left" w:pos="-4395"/>
        </w:tabs>
        <w:ind w:left="-4536"/>
        <w:rPr>
          <w:rFonts w:eastAsia="Times New Roman" w:cs="Tahoma"/>
          <w:spacing w:val="5"/>
          <w:kern w:val="28"/>
        </w:rPr>
      </w:pPr>
    </w:p>
    <w:p w:rsidR="002A11AC" w:rsidRPr="004619D6" w:rsidRDefault="002A11AC" w:rsidP="002A11AC">
      <w:pPr>
        <w:pStyle w:val="Header"/>
        <w:pBdr>
          <w:top w:val="single" w:sz="4" w:space="1" w:color="auto"/>
          <w:left w:val="single" w:sz="4" w:space="4" w:color="auto"/>
          <w:bottom w:val="single" w:sz="4" w:space="1" w:color="auto"/>
          <w:right w:val="single" w:sz="4" w:space="4" w:color="auto"/>
        </w:pBdr>
        <w:tabs>
          <w:tab w:val="left" w:pos="-4395"/>
        </w:tabs>
        <w:ind w:left="-4536"/>
        <w:rPr>
          <w:rFonts w:eastAsia="Times New Roman" w:cs="Tahoma"/>
          <w:spacing w:val="5"/>
          <w:kern w:val="28"/>
        </w:rPr>
      </w:pPr>
      <w:r w:rsidRPr="004619D6">
        <w:rPr>
          <w:rFonts w:eastAsia="Times New Roman" w:cs="Tahoma"/>
          <w:b/>
          <w:spacing w:val="5"/>
          <w:kern w:val="28"/>
        </w:rPr>
        <w:t>4. Changes within the impairment/special reserve limits for each risk category.</w:t>
      </w:r>
      <w:r w:rsidRPr="004619D6">
        <w:rPr>
          <w:rFonts w:eastAsia="Times New Roman" w:cs="Tahoma"/>
          <w:spacing w:val="5"/>
          <w:kern w:val="28"/>
        </w:rPr>
        <w:t xml:space="preserve"> With the Decision these limits were reduced as follows: 0% to 5% (risk category "A"), over 5% to 20% (risk category "B"), over 20% to 45% (risk category "C"), over 45% to 70% (risk category "D") and over 70% to 100% (risk category "E"). According to the previous regulation, limits by risk category pertained to 0% to 10%, over 10% to 25% over 25% to 50%, over 50% to 75% and over 75% to 100%, respectively. On the other hand, given that an exposure classified in risk category "C", despite performing, may also have a non-performing status (which is indicative of greater risk of that exposure), the Decision introduced an obligation to allocate at least 30% impairment/special reserve for non-performing claims classified in this category. For credit exposures classified in risk category "E" for which there is strong expectation that not even part of them can be collected, the Decision allows the bank to set aside impairment of at least 85%, if the exposure is secured by a pledge of factories and other similar manufacturing facilities, agricultural land and products whose price depends on the movements in the price of that product on world markets</w:t>
      </w:r>
      <w:r w:rsidRPr="004619D6">
        <w:rPr>
          <w:rStyle w:val="FootnoteReference"/>
          <w:rFonts w:cs="Tahoma"/>
        </w:rPr>
        <w:footnoteReference w:id="24"/>
      </w:r>
      <w:r w:rsidRPr="004619D6">
        <w:rPr>
          <w:rFonts w:eastAsia="Times New Roman" w:cs="Tahoma"/>
          <w:spacing w:val="5"/>
          <w:kern w:val="28"/>
        </w:rPr>
        <w:t>.</w:t>
      </w:r>
    </w:p>
    <w:p w:rsidR="002A11AC" w:rsidRPr="004619D6" w:rsidRDefault="002A11AC" w:rsidP="002A11AC">
      <w:pPr>
        <w:pStyle w:val="Header"/>
        <w:pBdr>
          <w:top w:val="single" w:sz="4" w:space="1" w:color="auto"/>
          <w:left w:val="single" w:sz="4" w:space="4" w:color="auto"/>
          <w:bottom w:val="single" w:sz="4" w:space="1" w:color="auto"/>
          <w:right w:val="single" w:sz="4" w:space="4" w:color="auto"/>
        </w:pBdr>
        <w:tabs>
          <w:tab w:val="left" w:pos="-4395"/>
        </w:tabs>
        <w:ind w:left="-4536"/>
        <w:rPr>
          <w:rFonts w:eastAsia="Times New Roman" w:cs="Tahoma"/>
          <w:spacing w:val="5"/>
          <w:kern w:val="28"/>
        </w:rPr>
      </w:pPr>
    </w:p>
    <w:p w:rsidR="002A11AC" w:rsidRPr="004619D6" w:rsidRDefault="002A11AC" w:rsidP="002A11AC">
      <w:pPr>
        <w:pStyle w:val="Header"/>
        <w:pBdr>
          <w:top w:val="single" w:sz="4" w:space="1" w:color="auto"/>
          <w:left w:val="single" w:sz="4" w:space="4" w:color="auto"/>
          <w:bottom w:val="single" w:sz="4" w:space="1" w:color="auto"/>
          <w:right w:val="single" w:sz="4" w:space="4" w:color="auto"/>
        </w:pBdr>
        <w:tabs>
          <w:tab w:val="clear" w:pos="4680"/>
          <w:tab w:val="clear" w:pos="9360"/>
          <w:tab w:val="left" w:pos="-4395"/>
        </w:tabs>
        <w:ind w:left="-4536"/>
        <w:rPr>
          <w:rFonts w:cs="Tahoma"/>
        </w:rPr>
      </w:pPr>
      <w:r w:rsidRPr="004619D6">
        <w:rPr>
          <w:rFonts w:eastAsia="Times New Roman" w:cs="Tahoma"/>
          <w:spacing w:val="5"/>
          <w:kern w:val="28"/>
        </w:rPr>
        <w:t>The Decision started to apply from 1 December 2013. According to the data submitted by banks on the effect of the initial application of the Decision, the majority of banks (12) have released the amount of the impairment, i.e. special reserve in the amount of Denar 328 million. On the other hand, four banks showed additional impairment/special reserve due to the provisions of the new Decision. However, at the level of the banking system, the overall effect of the requirements of the new Decision is releasing of impairment/special reserve in the amount of Denar 28 million. According to the Decision, released impairment can be used only to strengthen the capital of banks (covering losses from previous years or distribution in reserves or retained earnings</w:t>
      </w:r>
      <w:r w:rsidRPr="004619D6">
        <w:rPr>
          <w:rFonts w:cs="Tahoma"/>
        </w:rPr>
        <w:t>).</w:t>
      </w:r>
    </w:p>
    <w:p w:rsidR="002A11AC" w:rsidRPr="00E6388E" w:rsidRDefault="002A11AC" w:rsidP="002A11AC">
      <w:pPr>
        <w:rPr>
          <w:rFonts w:cs="Tahoma"/>
          <w:bCs/>
        </w:rPr>
      </w:pPr>
    </w:p>
    <w:p w:rsidR="006856D3" w:rsidRPr="004634E6" w:rsidRDefault="006856D3" w:rsidP="00C5550A">
      <w:pPr>
        <w:pStyle w:val="Heading2"/>
      </w:pPr>
      <w:bookmarkStart w:id="11" w:name="_Toc393283590"/>
      <w:r w:rsidRPr="004634E6">
        <w:t>Liquidity risk</w:t>
      </w:r>
      <w:bookmarkEnd w:id="11"/>
    </w:p>
    <w:p w:rsidR="006856D3" w:rsidRPr="004634E6" w:rsidRDefault="006856D3" w:rsidP="006856D3">
      <w:pPr>
        <w:ind w:left="-4536" w:firstLine="720"/>
        <w:rPr>
          <w:rFonts w:eastAsia="Times New Roman" w:cs="Tahoma"/>
          <w:b/>
          <w:snapToGrid w:val="0"/>
          <w:w w:val="0"/>
        </w:rPr>
      </w:pPr>
    </w:p>
    <w:p w:rsidR="006856D3" w:rsidRPr="004634E6" w:rsidRDefault="006856D3" w:rsidP="006856D3">
      <w:pPr>
        <w:ind w:left="-4536" w:firstLine="720"/>
        <w:rPr>
          <w:rFonts w:cs="Tahoma"/>
          <w:b/>
        </w:rPr>
      </w:pPr>
      <w:r w:rsidRPr="004634E6">
        <w:rPr>
          <w:rFonts w:eastAsia="Times New Roman" w:cs="Tahoma"/>
          <w:b/>
          <w:snapToGrid w:val="0"/>
          <w:w w:val="0"/>
        </w:rPr>
        <w:t xml:space="preserve">The liquidity of the banking system of the Republic of Macedonia was on a high and stable level during 2013, notwithstanding the slower growth of liquid assets. The lack of a more significant increase in liquid assets in 2013 was primarily </w:t>
      </w:r>
      <w:r w:rsidRPr="004634E6">
        <w:rPr>
          <w:rFonts w:eastAsia="Times New Roman" w:cs="Tahoma"/>
          <w:b/>
          <w:snapToGrid w:val="0"/>
          <w:w w:val="0"/>
        </w:rPr>
        <w:lastRenderedPageBreak/>
        <w:t xml:space="preserve">resulting from the reduced liquidity in the second half of the year due to the gradual strengthening of lending, deleveraging of domestic banks to foreign parent entities and the growing preference to invest in long-term government securities. In 2013, a decrease of the used banks' funding sources from their parent entities was registered. Hence, deposits of non-financial entities were the main driver of the growth of the banks' funding sources. The restructuring of the maturity profile of the liabilities of the banks continued, in favor of increasing the long-term funding, which in turn contributed to the improvement of the liabilities structure according to their contractual residual maturity. Also the contractual residual maturity of bank assets increased, i.e. the share of assets with shorter maturities decreased. Stress-tests show that the </w:t>
      </w:r>
      <w:bookmarkStart w:id="12" w:name="_GoBack"/>
      <w:bookmarkEnd w:id="12"/>
      <w:r w:rsidRPr="004634E6">
        <w:rPr>
          <w:rFonts w:eastAsia="Times New Roman" w:cs="Tahoma"/>
          <w:b/>
          <w:snapToGrid w:val="0"/>
          <w:w w:val="0"/>
        </w:rPr>
        <w:t>banking system has maintained a satisfactory level of resilience to liquidity shocks. According to the latest data available, as at February 2014, liquid assets grew by 0.6% annually, the share of liquid assets to total assets is maintained at a high level, and the coverage of short-term liabilities and deposits of households with liquid assets also remains high</w:t>
      </w:r>
      <w:r w:rsidRPr="004634E6">
        <w:rPr>
          <w:rFonts w:cs="Tahoma"/>
          <w:b/>
        </w:rPr>
        <w:t xml:space="preserve">. </w:t>
      </w:r>
    </w:p>
    <w:p w:rsidR="006856D3" w:rsidRPr="004634E6" w:rsidRDefault="006856D3" w:rsidP="006856D3">
      <w:pPr>
        <w:ind w:left="-4536" w:firstLine="850"/>
        <w:rPr>
          <w:rFonts w:cs="Tahoma"/>
          <w:b/>
        </w:rPr>
      </w:pPr>
    </w:p>
    <w:p w:rsidR="006856D3" w:rsidRPr="006856D3" w:rsidRDefault="006856D3" w:rsidP="00C5550A">
      <w:pPr>
        <w:pStyle w:val="Heading3"/>
      </w:pPr>
      <w:bookmarkStart w:id="13" w:name="_Toc393283591"/>
      <w:r w:rsidRPr="006856D3">
        <w:t>Amount, composition and changes in the liquid assets</w:t>
      </w:r>
      <w:bookmarkEnd w:id="13"/>
    </w:p>
    <w:p w:rsidR="006856D3" w:rsidRPr="004634E6" w:rsidRDefault="006856D3" w:rsidP="006856D3">
      <w:pPr>
        <w:ind w:firstLine="510"/>
        <w:rPr>
          <w:rFonts w:cs="Tahoma"/>
          <w:b/>
        </w:rPr>
      </w:pPr>
    </w:p>
    <w:p w:rsidR="006856D3" w:rsidRDefault="00803610" w:rsidP="006856D3">
      <w:pPr>
        <w:ind w:firstLine="510"/>
        <w:rPr>
          <w:rFonts w:cs="Tahoma"/>
        </w:rPr>
      </w:pPr>
      <w:r>
        <w:rPr>
          <w:rFonts w:cs="Tahoma"/>
          <w:noProof/>
        </w:rPr>
        <w:pict>
          <v:shape id="_x0000_s1165" type="#_x0000_t202" style="position:absolute;left:0;text-align:left;margin-left:-232.5pt;margin-top:1.4pt;width:225.75pt;height:246.9pt;z-index:251682816" wrapcoords="-75 0 -75 21550 21600 21550 21600 0 -75 0" stroked="f">
            <v:textbox style="mso-next-textbox:#_x0000_s1165">
              <w:txbxContent>
                <w:p w:rsidR="00280598" w:rsidRDefault="00280598" w:rsidP="006856D3">
                  <w:pPr>
                    <w:pStyle w:val="Caption"/>
                    <w:keepNext/>
                    <w:rPr>
                      <w:b w:val="0"/>
                      <w:lang w:val="mk-MK"/>
                    </w:rPr>
                  </w:pPr>
                  <w:r>
                    <w:t>Chart</w:t>
                  </w:r>
                  <w:r w:rsidRPr="007C73AF">
                    <w:t xml:space="preserve"> </w:t>
                  </w:r>
                  <w:fldSimple w:instr=" SEQ Графикон_бр. \* ARABIC ">
                    <w:r>
                      <w:rPr>
                        <w:noProof/>
                      </w:rPr>
                      <w:t>22</w:t>
                    </w:r>
                  </w:fldSimple>
                  <w:r w:rsidRPr="007C73AF">
                    <w:rPr>
                      <w:lang w:val="mk-MK"/>
                    </w:rPr>
                    <w:t xml:space="preserve"> </w:t>
                  </w:r>
                </w:p>
                <w:p w:rsidR="00280598" w:rsidRPr="007C73AF" w:rsidRDefault="00280598" w:rsidP="006856D3">
                  <w:pPr>
                    <w:pStyle w:val="Caption"/>
                    <w:keepNext/>
                    <w:rPr>
                      <w:b w:val="0"/>
                      <w:lang w:val="mk-MK"/>
                    </w:rPr>
                  </w:pPr>
                  <w:r>
                    <w:rPr>
                      <w:rFonts w:cs="Tahoma"/>
                    </w:rPr>
                    <w:t>Structure of banks’ liquid assets</w:t>
                  </w:r>
                  <w:r>
                    <w:rPr>
                      <w:lang w:val="mk-MK"/>
                    </w:rPr>
                    <w:t xml:space="preserve"> </w:t>
                  </w:r>
                  <w:r>
                    <w:t>by</w:t>
                  </w:r>
                  <w:r w:rsidRPr="007C73AF">
                    <w:rPr>
                      <w:lang w:val="mk-MK"/>
                    </w:rPr>
                    <w:t xml:space="preserve"> </w:t>
                  </w:r>
                  <w:r>
                    <w:t xml:space="preserve">financial instruments </w:t>
                  </w:r>
                </w:p>
                <w:p w:rsidR="00280598" w:rsidRPr="007C73AF" w:rsidRDefault="00280598" w:rsidP="006856D3">
                  <w:pPr>
                    <w:rPr>
                      <w:sz w:val="18"/>
                      <w:szCs w:val="18"/>
                      <w:lang w:val="mk-MK"/>
                    </w:rPr>
                  </w:pPr>
                  <w:r w:rsidRPr="007C73AF">
                    <w:rPr>
                      <w:sz w:val="18"/>
                      <w:szCs w:val="18"/>
                      <w:lang w:val="mk-MK"/>
                    </w:rPr>
                    <w:t>(</w:t>
                  </w:r>
                  <w:r>
                    <w:rPr>
                      <w:sz w:val="18"/>
                      <w:szCs w:val="18"/>
                    </w:rPr>
                    <w:t>in millions of denars and in percentage)</w:t>
                  </w:r>
                </w:p>
                <w:p w:rsidR="00280598" w:rsidRDefault="00280598" w:rsidP="006856D3">
                  <w:pPr>
                    <w:pStyle w:val="Caption"/>
                  </w:pPr>
                  <w:r w:rsidRPr="00D621FA">
                    <w:rPr>
                      <w:noProof/>
                    </w:rPr>
                    <w:drawing>
                      <wp:inline distT="0" distB="0" distL="0" distR="0">
                        <wp:extent cx="2633133" cy="2215657"/>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1673" cy="2222843"/>
                                </a:xfrm>
                                <a:prstGeom prst="rect">
                                  <a:avLst/>
                                </a:prstGeom>
                                <a:noFill/>
                                <a:ln>
                                  <a:noFill/>
                                </a:ln>
                              </pic:spPr>
                            </pic:pic>
                          </a:graphicData>
                        </a:graphic>
                      </wp:inline>
                    </w:drawing>
                  </w:r>
                </w:p>
                <w:p w:rsidR="00280598" w:rsidRPr="00D621FA" w:rsidRDefault="00280598" w:rsidP="006856D3">
                  <w:pPr>
                    <w:rPr>
                      <w:sz w:val="18"/>
                      <w:szCs w:val="18"/>
                    </w:rPr>
                  </w:pPr>
                  <w:r w:rsidRPr="00D621FA">
                    <w:rPr>
                      <w:sz w:val="18"/>
                      <w:szCs w:val="18"/>
                    </w:rPr>
                    <w:t>Source: NBRM, based on data submitted by banks</w:t>
                  </w:r>
                </w:p>
              </w:txbxContent>
            </v:textbox>
          </v:shape>
        </w:pict>
      </w:r>
      <w:r w:rsidR="006856D3" w:rsidRPr="004634E6">
        <w:rPr>
          <w:rFonts w:cs="Tahoma"/>
        </w:rPr>
        <w:t>At the end of 2013, the liquid assets</w:t>
      </w:r>
      <w:r w:rsidR="006856D3" w:rsidRPr="004634E6">
        <w:rPr>
          <w:rStyle w:val="FootnoteReference"/>
          <w:rFonts w:cs="Tahoma"/>
        </w:rPr>
        <w:footnoteReference w:id="25"/>
      </w:r>
      <w:r w:rsidR="006856D3" w:rsidRPr="004634E6">
        <w:rPr>
          <w:rFonts w:cs="Tahoma"/>
        </w:rPr>
        <w:t xml:space="preserve"> of the banking system amounted to Denar 111,264 million, which is an increase of Denar 351 million, or 0.3% on an annual basis. The annual growth rate of liquid assets slowed significantly in the last quarter of 2013. The reason for this slowdown is the decline of liquid assets in this quarter, which coincided with the intensified credit activity of banks. In fact, in the last quarter of 2013, liquid assets decreased by Denar 1.719 million, or 1.5%, while loans to banks increased by Denar 6,843 million, or 3.1%.</w:t>
      </w:r>
    </w:p>
    <w:p w:rsidR="006856D3" w:rsidRPr="004634E6" w:rsidRDefault="006856D3" w:rsidP="006856D3">
      <w:pPr>
        <w:ind w:firstLine="510"/>
        <w:rPr>
          <w:rFonts w:cs="Tahoma"/>
        </w:rPr>
      </w:pPr>
    </w:p>
    <w:p w:rsidR="006856D3" w:rsidRPr="004634E6" w:rsidRDefault="006856D3" w:rsidP="006856D3">
      <w:pPr>
        <w:ind w:firstLine="510"/>
        <w:rPr>
          <w:rFonts w:cs="Tahoma"/>
        </w:rPr>
      </w:pPr>
      <w:r w:rsidRPr="004634E6">
        <w:rPr>
          <w:rFonts w:cs="Tahoma"/>
        </w:rPr>
        <w:t xml:space="preserve">In 2013, amid auctions of CB bills with quantitative restriction on the amount offered, where banks were unable to invest unlimitedly in this financial instrument, investments in CB bills declined by 2.0%. Also, in the last quarter of 2013, a new methodology in conducting CB bills auctions began to apply, according to which each bank determines the potential demand for this instrument. If at the time when the auctions are conducted it is determined that at the level of the banking system there is higher than the potential demand, the banks that auctioned amounts </w:t>
      </w:r>
      <w:r w:rsidRPr="004634E6">
        <w:rPr>
          <w:rFonts w:cs="Tahoma"/>
        </w:rPr>
        <w:lastRenderedPageBreak/>
        <w:t>higher than their potential demand will be obliged to place the difference relative to the potential in  seven-day deposits with the National Bank. Observed on a quarterly basis, only during the third quarter of 2013, CB bills registered an increase, in the first quarter they declined, while in the second and fourth quarters of the year, their change was negligible.</w:t>
      </w:r>
    </w:p>
    <w:p w:rsidR="006856D3" w:rsidRPr="004634E6" w:rsidRDefault="00803610" w:rsidP="006856D3">
      <w:pPr>
        <w:ind w:firstLine="510"/>
        <w:rPr>
          <w:rFonts w:cs="Tahoma"/>
        </w:rPr>
      </w:pPr>
      <w:r>
        <w:rPr>
          <w:rFonts w:cs="Tahoma"/>
          <w:noProof/>
        </w:rPr>
        <w:pict>
          <v:shape id="_x0000_s1166" type="#_x0000_t202" style="position:absolute;left:0;text-align:left;margin-left:-231.3pt;margin-top:-115.05pt;width:225.75pt;height:367.5pt;z-index:251683840" wrapcoords="-75 0 -75 21550 21600 21550 21600 0 -75 0" stroked="f">
            <v:textbox style="mso-next-textbox:#_x0000_s1166">
              <w:txbxContent>
                <w:p w:rsidR="00280598" w:rsidRDefault="00280598" w:rsidP="006856D3">
                  <w:pPr>
                    <w:pStyle w:val="Caption"/>
                    <w:keepNext/>
                    <w:rPr>
                      <w:b w:val="0"/>
                      <w:lang w:val="mk-MK"/>
                    </w:rPr>
                  </w:pPr>
                  <w:r>
                    <w:t>Chart</w:t>
                  </w:r>
                  <w:r w:rsidRPr="007C73AF">
                    <w:t xml:space="preserve"> </w:t>
                  </w:r>
                  <w:fldSimple w:instr=" SEQ Графикон_бр. \* ARABIC ">
                    <w:r>
                      <w:rPr>
                        <w:noProof/>
                      </w:rPr>
                      <w:t>23</w:t>
                    </w:r>
                  </w:fldSimple>
                  <w:r w:rsidRPr="007C73AF">
                    <w:rPr>
                      <w:lang w:val="mk-MK"/>
                    </w:rPr>
                    <w:t xml:space="preserve"> </w:t>
                  </w:r>
                </w:p>
                <w:p w:rsidR="00280598" w:rsidRPr="006856D3" w:rsidRDefault="00280598" w:rsidP="006856D3">
                  <w:pPr>
                    <w:rPr>
                      <w:rFonts w:cs="Tahoma"/>
                      <w:b/>
                      <w:sz w:val="20"/>
                      <w:szCs w:val="20"/>
                    </w:rPr>
                  </w:pPr>
                  <w:r w:rsidRPr="006856D3">
                    <w:rPr>
                      <w:b/>
                      <w:sz w:val="20"/>
                      <w:szCs w:val="20"/>
                    </w:rPr>
                    <w:t>Annual</w:t>
                  </w:r>
                  <w:r w:rsidRPr="006856D3">
                    <w:rPr>
                      <w:b/>
                      <w:sz w:val="20"/>
                      <w:szCs w:val="20"/>
                      <w:lang w:val="mk-MK"/>
                    </w:rPr>
                    <w:t xml:space="preserve"> (</w:t>
                  </w:r>
                  <w:r w:rsidRPr="006856D3">
                    <w:rPr>
                      <w:b/>
                      <w:sz w:val="20"/>
                      <w:szCs w:val="20"/>
                    </w:rPr>
                    <w:t>up</w:t>
                  </w:r>
                  <w:r w:rsidRPr="006856D3">
                    <w:rPr>
                      <w:b/>
                      <w:sz w:val="20"/>
                      <w:szCs w:val="20"/>
                      <w:lang w:val="mk-MK"/>
                    </w:rPr>
                    <w:t xml:space="preserve">) </w:t>
                  </w:r>
                  <w:r w:rsidRPr="006856D3">
                    <w:rPr>
                      <w:b/>
                      <w:sz w:val="20"/>
                      <w:szCs w:val="20"/>
                    </w:rPr>
                    <w:t>and quarterly (down) absolute and relative change of financial instruments</w:t>
                  </w:r>
                  <w:r w:rsidRPr="006856D3">
                    <w:rPr>
                      <w:rFonts w:cs="Tahoma"/>
                      <w:b/>
                      <w:sz w:val="20"/>
                      <w:szCs w:val="20"/>
                      <w:lang w:val="mk-MK"/>
                    </w:rPr>
                    <w:t xml:space="preserve"> </w:t>
                  </w:r>
                  <w:r w:rsidRPr="006856D3">
                    <w:rPr>
                      <w:rFonts w:cs="Tahoma"/>
                      <w:b/>
                      <w:sz w:val="20"/>
                      <w:szCs w:val="20"/>
                    </w:rPr>
                    <w:t xml:space="preserve">that </w:t>
                  </w:r>
                  <w:r w:rsidRPr="006856D3">
                    <w:rPr>
                      <w:b/>
                      <w:sz w:val="20"/>
                      <w:szCs w:val="20"/>
                    </w:rPr>
                    <w:t>constitute</w:t>
                  </w:r>
                  <w:r w:rsidRPr="006856D3">
                    <w:rPr>
                      <w:rFonts w:cs="Tahoma"/>
                      <w:b/>
                      <w:sz w:val="20"/>
                      <w:szCs w:val="20"/>
                    </w:rPr>
                    <w:t xml:space="preserve"> liquid assets</w:t>
                  </w:r>
                </w:p>
                <w:p w:rsidR="00280598" w:rsidRPr="007C73AF" w:rsidRDefault="00280598" w:rsidP="006856D3">
                  <w:pPr>
                    <w:rPr>
                      <w:sz w:val="18"/>
                      <w:szCs w:val="18"/>
                      <w:lang w:val="mk-MK"/>
                    </w:rPr>
                  </w:pPr>
                  <w:r w:rsidRPr="007C73AF">
                    <w:rPr>
                      <w:sz w:val="18"/>
                      <w:szCs w:val="18"/>
                      <w:lang w:val="mk-MK"/>
                    </w:rPr>
                    <w:t xml:space="preserve"> (</w:t>
                  </w:r>
                  <w:r>
                    <w:rPr>
                      <w:sz w:val="18"/>
                      <w:szCs w:val="18"/>
                    </w:rPr>
                    <w:t>in millions of denars and in percentage)</w:t>
                  </w:r>
                </w:p>
                <w:p w:rsidR="00280598" w:rsidRDefault="00280598" w:rsidP="006856D3">
                  <w:pPr>
                    <w:pStyle w:val="Caption"/>
                  </w:pPr>
                  <w:r w:rsidRPr="009C5D5C">
                    <w:rPr>
                      <w:noProof/>
                      <w:bdr w:val="single" w:sz="4" w:space="0" w:color="auto"/>
                    </w:rPr>
                    <w:drawing>
                      <wp:inline distT="0" distB="0" distL="0" distR="0">
                        <wp:extent cx="2683934" cy="3666067"/>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4146" cy="3666357"/>
                                </a:xfrm>
                                <a:prstGeom prst="rect">
                                  <a:avLst/>
                                </a:prstGeom>
                                <a:noFill/>
                                <a:ln>
                                  <a:noFill/>
                                </a:ln>
                              </pic:spPr>
                            </pic:pic>
                          </a:graphicData>
                        </a:graphic>
                      </wp:inline>
                    </w:drawing>
                  </w:r>
                </w:p>
                <w:p w:rsidR="00280598" w:rsidRPr="00D621FA" w:rsidRDefault="00280598" w:rsidP="006856D3">
                  <w:pPr>
                    <w:jc w:val="center"/>
                    <w:rPr>
                      <w:sz w:val="18"/>
                      <w:szCs w:val="18"/>
                    </w:rPr>
                  </w:pPr>
                  <w:r w:rsidRPr="00D621FA">
                    <w:rPr>
                      <w:sz w:val="18"/>
                      <w:szCs w:val="18"/>
                    </w:rPr>
                    <w:t>Source: NBRM, based on data submitted by banks</w:t>
                  </w:r>
                </w:p>
              </w:txbxContent>
            </v:textbox>
          </v:shape>
        </w:pict>
      </w:r>
    </w:p>
    <w:p w:rsidR="006856D3" w:rsidRPr="004634E6" w:rsidRDefault="006856D3" w:rsidP="006856D3">
      <w:pPr>
        <w:ind w:firstLine="510"/>
        <w:rPr>
          <w:rFonts w:cs="Tahoma"/>
        </w:rPr>
      </w:pPr>
      <w:r w:rsidRPr="004634E6">
        <w:rPr>
          <w:rFonts w:cs="Tahoma"/>
        </w:rPr>
        <w:t>The wider offer of government securities contributed to greater participation of banks on the government securities market. Thus, at the end of 2013, Treasury bills were the only instrument in the liquid assets which registered an annual growth, of Denar 3,067 million, or 10.9%. During 2013, Treasury bills registered a more significant quarterly increase in the first and in the last quarter of the year. Macedonian banks have the dominant role on the Treasury bills market, with a share in the total amount of issued Treasury bills of over 70%.</w:t>
      </w:r>
    </w:p>
    <w:p w:rsidR="006856D3" w:rsidRDefault="006856D3" w:rsidP="006856D3">
      <w:pPr>
        <w:ind w:firstLine="510"/>
        <w:rPr>
          <w:rFonts w:cs="Tahoma"/>
        </w:rPr>
      </w:pPr>
    </w:p>
    <w:p w:rsidR="006856D3" w:rsidRDefault="006856D3" w:rsidP="006856D3">
      <w:pPr>
        <w:ind w:firstLine="510"/>
        <w:rPr>
          <w:rFonts w:cs="Tahoma"/>
        </w:rPr>
      </w:pPr>
    </w:p>
    <w:p w:rsidR="006856D3" w:rsidRDefault="006856D3" w:rsidP="006856D3">
      <w:pPr>
        <w:ind w:firstLine="510"/>
        <w:rPr>
          <w:rFonts w:cs="Tahoma"/>
        </w:rPr>
      </w:pPr>
    </w:p>
    <w:p w:rsidR="006856D3" w:rsidRDefault="006856D3" w:rsidP="006856D3">
      <w:pPr>
        <w:ind w:firstLine="510"/>
        <w:rPr>
          <w:rFonts w:cs="Tahoma"/>
        </w:rPr>
      </w:pPr>
    </w:p>
    <w:p w:rsidR="006856D3" w:rsidRDefault="006856D3" w:rsidP="006856D3">
      <w:pPr>
        <w:ind w:firstLine="510"/>
        <w:rPr>
          <w:rFonts w:cs="Tahoma"/>
        </w:rPr>
      </w:pPr>
    </w:p>
    <w:p w:rsidR="006856D3" w:rsidRDefault="00803610" w:rsidP="006856D3">
      <w:pPr>
        <w:ind w:firstLine="510"/>
        <w:rPr>
          <w:rFonts w:cs="Tahoma"/>
        </w:rPr>
      </w:pPr>
      <w:r>
        <w:rPr>
          <w:rFonts w:cs="Tahoma"/>
          <w:noProof/>
        </w:rPr>
        <w:pict>
          <v:shape id="_x0000_s1167" type="#_x0000_t202" style="position:absolute;left:0;text-align:left;margin-left:-234pt;margin-top:9.7pt;width:225.75pt;height:262.5pt;z-index:251684864" wrapcoords="-75 0 -75 21550 21600 21550 21600 0 -75 0" stroked="f">
            <v:textbox style="mso-next-textbox:#_x0000_s1167">
              <w:txbxContent>
                <w:p w:rsidR="00280598" w:rsidRDefault="00280598" w:rsidP="006856D3">
                  <w:pPr>
                    <w:pStyle w:val="Caption"/>
                    <w:keepNext/>
                    <w:rPr>
                      <w:b w:val="0"/>
                      <w:lang w:val="mk-MK"/>
                    </w:rPr>
                  </w:pPr>
                  <w:r>
                    <w:t>Chart</w:t>
                  </w:r>
                  <w:r w:rsidRPr="007C73AF">
                    <w:t xml:space="preserve"> </w:t>
                  </w:r>
                  <w:fldSimple w:instr=" SEQ Графикон_бр. \* ARABIC ">
                    <w:r>
                      <w:rPr>
                        <w:noProof/>
                      </w:rPr>
                      <w:t>24</w:t>
                    </w:r>
                  </w:fldSimple>
                  <w:r w:rsidRPr="007C73AF">
                    <w:rPr>
                      <w:lang w:val="mk-MK"/>
                    </w:rPr>
                    <w:t xml:space="preserve"> </w:t>
                  </w:r>
                </w:p>
                <w:p w:rsidR="00280598" w:rsidRPr="00D44822" w:rsidRDefault="00280598" w:rsidP="006856D3">
                  <w:pPr>
                    <w:pStyle w:val="Caption"/>
                    <w:rPr>
                      <w:b w:val="0"/>
                      <w:noProof/>
                      <w:lang w:val="mk-MK"/>
                    </w:rPr>
                  </w:pPr>
                  <w:r>
                    <w:rPr>
                      <w:lang w:val="en-GB"/>
                    </w:rPr>
                    <w:t>Amount of banks’ continuous government securities and share of banks in total issued continuous government securities</w:t>
                  </w:r>
                  <w:r>
                    <w:rPr>
                      <w:lang w:val="mk-MK"/>
                    </w:rPr>
                    <w:t xml:space="preserve"> </w:t>
                  </w:r>
                </w:p>
                <w:p w:rsidR="00280598" w:rsidRPr="007C73AF" w:rsidRDefault="00280598" w:rsidP="006856D3">
                  <w:pPr>
                    <w:rPr>
                      <w:sz w:val="18"/>
                      <w:szCs w:val="18"/>
                      <w:lang w:val="mk-MK"/>
                    </w:rPr>
                  </w:pPr>
                  <w:r w:rsidRPr="007C73AF">
                    <w:rPr>
                      <w:sz w:val="18"/>
                      <w:szCs w:val="18"/>
                      <w:lang w:val="mk-MK"/>
                    </w:rPr>
                    <w:t>(</w:t>
                  </w:r>
                  <w:r>
                    <w:rPr>
                      <w:sz w:val="18"/>
                      <w:szCs w:val="18"/>
                    </w:rPr>
                    <w:t>in millions of denars and in percentage)</w:t>
                  </w:r>
                </w:p>
                <w:p w:rsidR="00280598" w:rsidRDefault="00280598" w:rsidP="006856D3">
                  <w:pPr>
                    <w:pStyle w:val="Caption"/>
                  </w:pPr>
                  <w:r w:rsidRPr="007E346D">
                    <w:rPr>
                      <w:noProof/>
                    </w:rPr>
                    <w:drawing>
                      <wp:inline distT="0" distB="0" distL="0" distR="0">
                        <wp:extent cx="2657475" cy="2343150"/>
                        <wp:effectExtent l="19050" t="0" r="952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5041" cy="2349821"/>
                                </a:xfrm>
                                <a:prstGeom prst="rect">
                                  <a:avLst/>
                                </a:prstGeom>
                                <a:noFill/>
                                <a:ln>
                                  <a:noFill/>
                                </a:ln>
                              </pic:spPr>
                            </pic:pic>
                          </a:graphicData>
                        </a:graphic>
                      </wp:inline>
                    </w:drawing>
                  </w:r>
                </w:p>
                <w:p w:rsidR="00280598" w:rsidRPr="00D621FA" w:rsidRDefault="00280598" w:rsidP="006856D3">
                  <w:pPr>
                    <w:rPr>
                      <w:sz w:val="18"/>
                      <w:szCs w:val="18"/>
                    </w:rPr>
                  </w:pPr>
                  <w:r w:rsidRPr="00D621FA">
                    <w:rPr>
                      <w:sz w:val="18"/>
                      <w:szCs w:val="18"/>
                    </w:rPr>
                    <w:t>Source: NBRM, based on data submitted by banks</w:t>
                  </w:r>
                </w:p>
              </w:txbxContent>
            </v:textbox>
          </v:shape>
        </w:pict>
      </w:r>
    </w:p>
    <w:p w:rsidR="006856D3" w:rsidRPr="004634E6" w:rsidRDefault="006856D3" w:rsidP="006856D3">
      <w:pPr>
        <w:ind w:firstLine="510"/>
        <w:rPr>
          <w:rFonts w:cs="Tahoma"/>
        </w:rPr>
      </w:pPr>
    </w:p>
    <w:p w:rsidR="006856D3" w:rsidRPr="004634E6" w:rsidRDefault="006856D3" w:rsidP="006856D3">
      <w:pPr>
        <w:ind w:firstLine="510"/>
        <w:rPr>
          <w:rFonts w:cs="Tahoma"/>
        </w:rPr>
      </w:pPr>
      <w:r w:rsidRPr="004634E6">
        <w:rPr>
          <w:rFonts w:cs="Tahoma"/>
        </w:rPr>
        <w:t>During 2013, significant growth was registered also in banks' investments in government bonds</w:t>
      </w:r>
      <w:r w:rsidRPr="004634E6">
        <w:rPr>
          <w:rStyle w:val="FootnoteReference"/>
          <w:rFonts w:cs="Tahoma"/>
        </w:rPr>
        <w:footnoteReference w:id="26"/>
      </w:r>
      <w:r w:rsidRPr="004634E6">
        <w:rPr>
          <w:rFonts w:cs="Tahoma"/>
        </w:rPr>
        <w:t>. Namely, at the end of 2013, banks had at their disposal government bonds in the amount of Denar 5,756 million, which represents 1.6% of the total assets, and they grow by Denar 3,928 million on an annual basis. According to the List of securities for conducting monetary operations</w:t>
      </w:r>
      <w:r w:rsidRPr="004634E6">
        <w:rPr>
          <w:rStyle w:val="FootnoteReference"/>
          <w:rFonts w:cs="Tahoma"/>
        </w:rPr>
        <w:footnoteReference w:id="27"/>
      </w:r>
      <w:r w:rsidRPr="004634E6">
        <w:rPr>
          <w:rFonts w:cs="Tahoma"/>
        </w:rPr>
        <w:t>, the National Bank accepts government bonds as a security instrument when conducting monetary operations, which increases their attractiveness as an investment alternative for banks. The share of banks in the total amount of outstanding continued government bonds during 2013 experienced an upward trend and it increased by around 20 percentage points on an annual basis.</w:t>
      </w:r>
    </w:p>
    <w:p w:rsidR="006856D3" w:rsidRPr="004634E6" w:rsidRDefault="00803610" w:rsidP="006856D3">
      <w:pPr>
        <w:ind w:firstLine="510"/>
        <w:rPr>
          <w:rFonts w:cs="Tahoma"/>
        </w:rPr>
      </w:pPr>
      <w:r>
        <w:rPr>
          <w:rFonts w:cs="Tahoma"/>
          <w:noProof/>
        </w:rPr>
        <w:lastRenderedPageBreak/>
        <w:pict>
          <v:shape id="_x0000_s1168" type="#_x0000_t202" style="position:absolute;left:0;text-align:left;margin-left:-227.25pt;margin-top:-1.35pt;width:222.4pt;height:209.25pt;z-index:251685888" wrapcoords="-75 0 -75 21550 21600 21550 21600 0 -75 0" stroked="f">
            <v:textbox style="mso-next-textbox:#_x0000_s1168">
              <w:txbxContent>
                <w:p w:rsidR="00280598" w:rsidRDefault="00280598" w:rsidP="006856D3">
                  <w:pPr>
                    <w:pStyle w:val="Caption"/>
                    <w:keepNext/>
                    <w:rPr>
                      <w:b w:val="0"/>
                      <w:lang w:val="mk-MK"/>
                    </w:rPr>
                  </w:pPr>
                  <w:r>
                    <w:t>Chart</w:t>
                  </w:r>
                  <w:r w:rsidRPr="007C73AF">
                    <w:t xml:space="preserve"> </w:t>
                  </w:r>
                  <w:fldSimple w:instr=" SEQ Графикон_бр. \* ARABIC ">
                    <w:r>
                      <w:rPr>
                        <w:noProof/>
                      </w:rPr>
                      <w:t>25</w:t>
                    </w:r>
                  </w:fldSimple>
                  <w:r w:rsidRPr="007C73AF">
                    <w:rPr>
                      <w:lang w:val="mk-MK"/>
                    </w:rPr>
                    <w:t xml:space="preserve"> </w:t>
                  </w:r>
                </w:p>
                <w:p w:rsidR="00280598" w:rsidRPr="00D44822" w:rsidRDefault="00280598" w:rsidP="006856D3">
                  <w:pPr>
                    <w:pStyle w:val="Caption"/>
                    <w:rPr>
                      <w:b w:val="0"/>
                      <w:noProof/>
                      <w:lang w:val="mk-MK"/>
                    </w:rPr>
                  </w:pPr>
                  <w:r>
                    <w:rPr>
                      <w:lang w:val="en-GB"/>
                    </w:rPr>
                    <w:t xml:space="preserve">Movement of basic interest rates in denars and euros </w:t>
                  </w:r>
                </w:p>
                <w:p w:rsidR="00280598" w:rsidRPr="007C73AF" w:rsidRDefault="00280598" w:rsidP="006856D3">
                  <w:pPr>
                    <w:rPr>
                      <w:sz w:val="18"/>
                      <w:szCs w:val="18"/>
                      <w:lang w:val="mk-MK"/>
                    </w:rPr>
                  </w:pPr>
                  <w:r w:rsidRPr="007C73AF">
                    <w:rPr>
                      <w:sz w:val="18"/>
                      <w:szCs w:val="18"/>
                      <w:lang w:val="mk-MK"/>
                    </w:rPr>
                    <w:t>(</w:t>
                  </w:r>
                  <w:r>
                    <w:rPr>
                      <w:sz w:val="18"/>
                      <w:szCs w:val="18"/>
                    </w:rPr>
                    <w:t>in percentage)</w:t>
                  </w:r>
                </w:p>
                <w:p w:rsidR="00280598" w:rsidRDefault="00280598" w:rsidP="006856D3">
                  <w:pPr>
                    <w:pStyle w:val="Caption"/>
                  </w:pPr>
                  <w:r w:rsidRPr="007E346D">
                    <w:rPr>
                      <w:noProof/>
                    </w:rPr>
                    <w:drawing>
                      <wp:inline distT="0" distB="0" distL="0" distR="0">
                        <wp:extent cx="2624667" cy="18018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4667" cy="1801894"/>
                                </a:xfrm>
                                <a:prstGeom prst="rect">
                                  <a:avLst/>
                                </a:prstGeom>
                                <a:noFill/>
                                <a:ln>
                                  <a:noFill/>
                                </a:ln>
                              </pic:spPr>
                            </pic:pic>
                          </a:graphicData>
                        </a:graphic>
                      </wp:inline>
                    </w:drawing>
                  </w:r>
                </w:p>
                <w:p w:rsidR="00280598" w:rsidRPr="00D621FA" w:rsidRDefault="00280598" w:rsidP="006856D3">
                  <w:pPr>
                    <w:rPr>
                      <w:sz w:val="18"/>
                      <w:szCs w:val="18"/>
                    </w:rPr>
                  </w:pPr>
                  <w:r w:rsidRPr="00D621FA">
                    <w:rPr>
                      <w:sz w:val="18"/>
                      <w:szCs w:val="18"/>
                    </w:rPr>
                    <w:t>Source: NBRM, based on data submitted by banks</w:t>
                  </w:r>
                </w:p>
              </w:txbxContent>
            </v:textbox>
          </v:shape>
        </w:pict>
      </w:r>
      <w:r w:rsidR="006856D3" w:rsidRPr="004634E6">
        <w:rPr>
          <w:rFonts w:cs="Tahoma"/>
        </w:rPr>
        <w:t>Although in 2013, short-term deposits placed with foreign banks experienced positive annual growth rates, at the end of the year they registered an annual decline of Denar 641 million, or 2.2%. This is primarily due to their dynamics in the fourth quarter of 2013, when they declined by 9.4%, i.e. Denar 2,901 million. Given that interest rates on the international financial markets are lower than the interest rates in the domestic economy, the dynamics of these funds indirectly contributes toward improving the banks' profitability.</w:t>
      </w:r>
    </w:p>
    <w:p w:rsidR="006856D3" w:rsidRPr="004634E6" w:rsidRDefault="006856D3" w:rsidP="006856D3">
      <w:pPr>
        <w:ind w:firstLine="510"/>
        <w:rPr>
          <w:rFonts w:cs="Tahoma"/>
        </w:rPr>
      </w:pPr>
      <w:r w:rsidRPr="004634E6">
        <w:rPr>
          <w:rFonts w:cs="Tahoma"/>
        </w:rPr>
        <w:t xml:space="preserve"> </w:t>
      </w:r>
    </w:p>
    <w:p w:rsidR="006856D3" w:rsidRPr="004634E6" w:rsidRDefault="006856D3" w:rsidP="006856D3">
      <w:pPr>
        <w:ind w:firstLine="510"/>
        <w:rPr>
          <w:rFonts w:cs="Tahoma"/>
        </w:rPr>
      </w:pPr>
    </w:p>
    <w:p w:rsidR="006856D3" w:rsidRPr="004634E6" w:rsidRDefault="006856D3" w:rsidP="006856D3">
      <w:pPr>
        <w:ind w:firstLine="510"/>
        <w:rPr>
          <w:rFonts w:cs="Tahoma"/>
        </w:rPr>
      </w:pPr>
    </w:p>
    <w:p w:rsidR="006856D3" w:rsidRPr="004634E6" w:rsidRDefault="006856D3" w:rsidP="006856D3">
      <w:pPr>
        <w:ind w:firstLine="510"/>
        <w:rPr>
          <w:rFonts w:cs="Tahoma"/>
        </w:rPr>
      </w:pPr>
    </w:p>
    <w:p w:rsidR="006856D3" w:rsidRPr="004634E6" w:rsidRDefault="00803610" w:rsidP="006856D3">
      <w:pPr>
        <w:rPr>
          <w:rFonts w:cs="Tahoma"/>
        </w:rPr>
      </w:pPr>
      <w:r>
        <w:rPr>
          <w:rFonts w:cs="Tahoma"/>
          <w:noProof/>
        </w:rPr>
        <w:pict>
          <v:shape id="_x0000_s1169" type="#_x0000_t202" style="position:absolute;left:0;text-align:left;margin-left:-227.25pt;margin-top:4.9pt;width:221.2pt;height:326.25pt;z-index:251686912" wrapcoords="-75 0 -75 21550 21600 21550 21600 0 -75 0" stroked="f">
            <v:textbox style="mso-next-textbox:#_x0000_s1169">
              <w:txbxContent>
                <w:p w:rsidR="00280598" w:rsidRDefault="00280598" w:rsidP="006856D3">
                  <w:pPr>
                    <w:pStyle w:val="Caption"/>
                    <w:keepNext/>
                    <w:rPr>
                      <w:b w:val="0"/>
                      <w:lang w:val="mk-MK"/>
                    </w:rPr>
                  </w:pPr>
                  <w:r>
                    <w:t>Chart</w:t>
                  </w:r>
                  <w:r w:rsidRPr="007C73AF">
                    <w:t xml:space="preserve"> </w:t>
                  </w:r>
                  <w:fldSimple w:instr=" SEQ Графикон_бр. \* ARABIC ">
                    <w:r>
                      <w:rPr>
                        <w:noProof/>
                      </w:rPr>
                      <w:t>26</w:t>
                    </w:r>
                  </w:fldSimple>
                  <w:r w:rsidRPr="007C73AF">
                    <w:rPr>
                      <w:lang w:val="mk-MK"/>
                    </w:rPr>
                    <w:t xml:space="preserve"> </w:t>
                  </w:r>
                </w:p>
                <w:p w:rsidR="00280598" w:rsidRPr="00D44822" w:rsidRDefault="00280598" w:rsidP="006856D3">
                  <w:pPr>
                    <w:pStyle w:val="Caption"/>
                    <w:rPr>
                      <w:b w:val="0"/>
                      <w:noProof/>
                      <w:lang w:val="mk-MK"/>
                    </w:rPr>
                  </w:pPr>
                  <w:r>
                    <w:rPr>
                      <w:lang w:val="en-GB"/>
                    </w:rPr>
                    <w:t xml:space="preserve">Movement of basic interest rates in denars and euros </w:t>
                  </w:r>
                </w:p>
                <w:p w:rsidR="00280598" w:rsidRPr="007C73AF" w:rsidRDefault="00280598" w:rsidP="006856D3">
                  <w:pPr>
                    <w:rPr>
                      <w:sz w:val="18"/>
                      <w:szCs w:val="18"/>
                      <w:lang w:val="mk-MK"/>
                    </w:rPr>
                  </w:pPr>
                  <w:r w:rsidRPr="007C73AF">
                    <w:rPr>
                      <w:sz w:val="18"/>
                      <w:szCs w:val="18"/>
                      <w:lang w:val="mk-MK"/>
                    </w:rPr>
                    <w:t>(</w:t>
                  </w:r>
                  <w:r>
                    <w:rPr>
                      <w:sz w:val="18"/>
                      <w:szCs w:val="18"/>
                    </w:rPr>
                    <w:t>in percentage)</w:t>
                  </w:r>
                </w:p>
                <w:p w:rsidR="00280598" w:rsidRDefault="00280598" w:rsidP="006856D3">
                  <w:pPr>
                    <w:pStyle w:val="Caption"/>
                  </w:pPr>
                  <w:r w:rsidRPr="007E346D">
                    <w:rPr>
                      <w:noProof/>
                      <w:bdr w:val="single" w:sz="4" w:space="0" w:color="auto"/>
                    </w:rPr>
                    <w:drawing>
                      <wp:inline distT="0" distB="0" distL="0" distR="0">
                        <wp:extent cx="2623774" cy="3228975"/>
                        <wp:effectExtent l="19050" t="0" r="5126"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6360" cy="3232158"/>
                                </a:xfrm>
                                <a:prstGeom prst="rect">
                                  <a:avLst/>
                                </a:prstGeom>
                                <a:noFill/>
                                <a:ln>
                                  <a:noFill/>
                                </a:ln>
                              </pic:spPr>
                            </pic:pic>
                          </a:graphicData>
                        </a:graphic>
                      </wp:inline>
                    </w:drawing>
                  </w:r>
                </w:p>
                <w:p w:rsidR="00280598" w:rsidRPr="00D621FA" w:rsidRDefault="00280598" w:rsidP="006856D3">
                  <w:pPr>
                    <w:rPr>
                      <w:sz w:val="18"/>
                      <w:szCs w:val="18"/>
                    </w:rPr>
                  </w:pPr>
                  <w:r w:rsidRPr="00D621FA">
                    <w:rPr>
                      <w:sz w:val="18"/>
                      <w:szCs w:val="18"/>
                    </w:rPr>
                    <w:t>Source: NBRM, based on data submitted by banks</w:t>
                  </w:r>
                </w:p>
              </w:txbxContent>
            </v:textbox>
          </v:shape>
        </w:pict>
      </w:r>
    </w:p>
    <w:p w:rsidR="006856D3" w:rsidRPr="004634E6" w:rsidRDefault="006856D3" w:rsidP="006856D3">
      <w:pPr>
        <w:ind w:firstLine="510"/>
        <w:rPr>
          <w:rFonts w:cs="Tahoma"/>
        </w:rPr>
      </w:pPr>
      <w:r w:rsidRPr="004634E6">
        <w:rPr>
          <w:rFonts w:cs="Tahoma"/>
        </w:rPr>
        <w:t>Changes in the individual components of liquid assets during 2013 also caused some shifts in their structure. Treasury bills increased their share in the structure of liquid assets by 2.7 percentage points annually. Particularly evident is the increase in the share of Treasury bills in the structure of liquid assets in the last quarter of 2013, by 2.6 percentage points. On the other hand, in 2013, the structural shares of other financial instruments reduced. As of December 31, 2013, the structure of liquid assets is relatively uniform. Treasury bills with a share of 28.0% are the most common financial instrument, and the share of other financial instruments ranges from 22.9% (CB bills) to 25.2% (short-term deposits in foreign banks).</w:t>
      </w:r>
    </w:p>
    <w:p w:rsidR="006856D3" w:rsidRPr="004634E6" w:rsidRDefault="006856D3" w:rsidP="006856D3">
      <w:pPr>
        <w:ind w:firstLine="510"/>
        <w:rPr>
          <w:rFonts w:cs="Tahoma"/>
        </w:rPr>
      </w:pPr>
    </w:p>
    <w:p w:rsidR="006856D3" w:rsidRPr="004634E6" w:rsidRDefault="006856D3" w:rsidP="006856D3">
      <w:pPr>
        <w:ind w:firstLine="510"/>
        <w:rPr>
          <w:rFonts w:cs="Tahoma"/>
        </w:rPr>
      </w:pPr>
    </w:p>
    <w:p w:rsidR="006856D3" w:rsidRPr="004634E6" w:rsidRDefault="006856D3" w:rsidP="006856D3">
      <w:pPr>
        <w:ind w:firstLine="510"/>
        <w:rPr>
          <w:rFonts w:cs="Tahoma"/>
        </w:rPr>
      </w:pPr>
    </w:p>
    <w:p w:rsidR="006856D3" w:rsidRPr="004634E6" w:rsidRDefault="006856D3" w:rsidP="006856D3">
      <w:pPr>
        <w:ind w:firstLine="510"/>
        <w:rPr>
          <w:rFonts w:cs="Tahoma"/>
        </w:rPr>
      </w:pPr>
    </w:p>
    <w:p w:rsidR="006856D3" w:rsidRPr="004634E6" w:rsidRDefault="006856D3" w:rsidP="006856D3">
      <w:pPr>
        <w:ind w:firstLine="510"/>
        <w:rPr>
          <w:rFonts w:cs="Tahoma"/>
        </w:rPr>
      </w:pPr>
    </w:p>
    <w:p w:rsidR="006856D3" w:rsidRDefault="006856D3" w:rsidP="006856D3">
      <w:pPr>
        <w:ind w:firstLine="510"/>
        <w:rPr>
          <w:rFonts w:cs="Tahoma"/>
        </w:rPr>
      </w:pPr>
    </w:p>
    <w:p w:rsidR="006856D3" w:rsidRDefault="006856D3" w:rsidP="006856D3">
      <w:pPr>
        <w:ind w:firstLine="510"/>
        <w:rPr>
          <w:rFonts w:cs="Tahoma"/>
        </w:rPr>
      </w:pPr>
    </w:p>
    <w:p w:rsidR="006856D3" w:rsidRDefault="006856D3" w:rsidP="006856D3">
      <w:pPr>
        <w:ind w:firstLine="510"/>
        <w:rPr>
          <w:rFonts w:cs="Tahoma"/>
        </w:rPr>
      </w:pPr>
    </w:p>
    <w:p w:rsidR="006856D3" w:rsidRDefault="006856D3" w:rsidP="006856D3">
      <w:pPr>
        <w:ind w:firstLine="510"/>
        <w:rPr>
          <w:rFonts w:cs="Tahoma"/>
        </w:rPr>
      </w:pPr>
    </w:p>
    <w:p w:rsidR="006856D3" w:rsidRDefault="006856D3" w:rsidP="006856D3">
      <w:pPr>
        <w:ind w:firstLine="510"/>
        <w:rPr>
          <w:rFonts w:cs="Tahoma"/>
        </w:rPr>
      </w:pPr>
    </w:p>
    <w:p w:rsidR="006856D3" w:rsidRDefault="006856D3" w:rsidP="006856D3">
      <w:pPr>
        <w:ind w:firstLine="510"/>
        <w:rPr>
          <w:rFonts w:cs="Tahoma"/>
        </w:rPr>
      </w:pPr>
    </w:p>
    <w:p w:rsidR="006856D3" w:rsidRDefault="006856D3" w:rsidP="006856D3">
      <w:pPr>
        <w:ind w:firstLine="510"/>
        <w:rPr>
          <w:rFonts w:cs="Tahoma"/>
        </w:rPr>
      </w:pPr>
    </w:p>
    <w:p w:rsidR="006856D3" w:rsidRDefault="006856D3" w:rsidP="006856D3">
      <w:pPr>
        <w:ind w:firstLine="510"/>
        <w:rPr>
          <w:rFonts w:cs="Tahoma"/>
        </w:rPr>
      </w:pPr>
    </w:p>
    <w:p w:rsidR="006856D3" w:rsidRPr="004634E6" w:rsidRDefault="006856D3" w:rsidP="006856D3">
      <w:pPr>
        <w:ind w:firstLine="510"/>
        <w:rPr>
          <w:rFonts w:cs="Tahoma"/>
        </w:rPr>
      </w:pPr>
    </w:p>
    <w:p w:rsidR="006856D3" w:rsidRPr="004634E6" w:rsidRDefault="00803610" w:rsidP="006856D3">
      <w:pPr>
        <w:ind w:firstLine="510"/>
        <w:rPr>
          <w:rFonts w:cs="Tahoma"/>
        </w:rPr>
      </w:pPr>
      <w:r>
        <w:rPr>
          <w:rFonts w:cs="Tahoma"/>
          <w:noProof/>
        </w:rPr>
        <w:lastRenderedPageBreak/>
        <w:pict>
          <v:shape id="_x0000_s1170" type="#_x0000_t202" style="position:absolute;left:0;text-align:left;margin-left:-225.75pt;margin-top:-3.6pt;width:221.2pt;height:319.5pt;z-index:251687936" wrapcoords="-75 0 -75 21550 21600 21550 21600 0 -75 0" stroked="f">
            <v:textbox style="mso-next-textbox:#_x0000_s1170">
              <w:txbxContent>
                <w:p w:rsidR="00280598" w:rsidRDefault="00280598" w:rsidP="006856D3">
                  <w:pPr>
                    <w:pStyle w:val="Caption"/>
                    <w:keepNext/>
                    <w:rPr>
                      <w:lang w:val="en-GB"/>
                    </w:rPr>
                  </w:pPr>
                  <w:r>
                    <w:t>Chart</w:t>
                  </w:r>
                  <w:r w:rsidRPr="007C73AF">
                    <w:t xml:space="preserve"> </w:t>
                  </w:r>
                  <w:fldSimple w:instr=" SEQ Графикон_бр. \* ARABIC ">
                    <w:r>
                      <w:rPr>
                        <w:noProof/>
                      </w:rPr>
                      <w:t>27</w:t>
                    </w:r>
                  </w:fldSimple>
                  <w:r w:rsidRPr="007C73AF">
                    <w:rPr>
                      <w:lang w:val="mk-MK"/>
                    </w:rPr>
                    <w:t xml:space="preserve"> </w:t>
                  </w:r>
                </w:p>
                <w:p w:rsidR="00280598" w:rsidRPr="00E0293F" w:rsidRDefault="00280598" w:rsidP="006856D3">
                  <w:pPr>
                    <w:rPr>
                      <w:b/>
                      <w:sz w:val="20"/>
                      <w:szCs w:val="20"/>
                      <w:lang w:val="en-GB"/>
                    </w:rPr>
                  </w:pPr>
                  <w:r w:rsidRPr="00E0293F">
                    <w:rPr>
                      <w:b/>
                      <w:sz w:val="20"/>
                      <w:szCs w:val="20"/>
                    </w:rPr>
                    <w:t>Annual</w:t>
                  </w:r>
                  <w:r w:rsidRPr="00E0293F">
                    <w:rPr>
                      <w:b/>
                      <w:sz w:val="20"/>
                      <w:szCs w:val="20"/>
                      <w:lang w:val="mk-MK"/>
                    </w:rPr>
                    <w:t xml:space="preserve"> (</w:t>
                  </w:r>
                  <w:r w:rsidRPr="00E0293F">
                    <w:rPr>
                      <w:b/>
                      <w:sz w:val="20"/>
                      <w:szCs w:val="20"/>
                    </w:rPr>
                    <w:t>up</w:t>
                  </w:r>
                  <w:r w:rsidRPr="00E0293F">
                    <w:rPr>
                      <w:b/>
                      <w:sz w:val="20"/>
                      <w:szCs w:val="20"/>
                      <w:lang w:val="mk-MK"/>
                    </w:rPr>
                    <w:t xml:space="preserve">) </w:t>
                  </w:r>
                  <w:r w:rsidRPr="00E0293F">
                    <w:rPr>
                      <w:b/>
                      <w:sz w:val="20"/>
                      <w:szCs w:val="20"/>
                    </w:rPr>
                    <w:t>and quarterly (down) absolute and relative change of liquid assets by currency</w:t>
                  </w:r>
                </w:p>
                <w:p w:rsidR="00280598" w:rsidRPr="007C73AF" w:rsidRDefault="00280598" w:rsidP="006856D3">
                  <w:pPr>
                    <w:rPr>
                      <w:sz w:val="18"/>
                      <w:szCs w:val="18"/>
                      <w:lang w:val="mk-MK"/>
                    </w:rPr>
                  </w:pPr>
                  <w:r w:rsidRPr="007C73AF">
                    <w:rPr>
                      <w:sz w:val="18"/>
                      <w:szCs w:val="18"/>
                      <w:lang w:val="mk-MK"/>
                    </w:rPr>
                    <w:t>(</w:t>
                  </w:r>
                  <w:r>
                    <w:rPr>
                      <w:sz w:val="18"/>
                      <w:szCs w:val="18"/>
                    </w:rPr>
                    <w:t>in percentage)</w:t>
                  </w:r>
                </w:p>
                <w:p w:rsidR="00280598" w:rsidRDefault="00280598" w:rsidP="006856D3">
                  <w:pPr>
                    <w:pStyle w:val="Caption"/>
                  </w:pPr>
                  <w:r w:rsidRPr="006B1C63">
                    <w:rPr>
                      <w:noProof/>
                      <w:bdr w:val="single" w:sz="4" w:space="0" w:color="auto"/>
                    </w:rPr>
                    <w:drawing>
                      <wp:inline distT="0" distB="0" distL="0" distR="0">
                        <wp:extent cx="2623705" cy="3028950"/>
                        <wp:effectExtent l="19050" t="0" r="519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6360" cy="3032016"/>
                                </a:xfrm>
                                <a:prstGeom prst="rect">
                                  <a:avLst/>
                                </a:prstGeom>
                                <a:noFill/>
                                <a:ln>
                                  <a:noFill/>
                                </a:ln>
                              </pic:spPr>
                            </pic:pic>
                          </a:graphicData>
                        </a:graphic>
                      </wp:inline>
                    </w:drawing>
                  </w:r>
                </w:p>
                <w:p w:rsidR="00280598" w:rsidRPr="00D621FA" w:rsidRDefault="00280598" w:rsidP="006856D3">
                  <w:pPr>
                    <w:rPr>
                      <w:sz w:val="18"/>
                      <w:szCs w:val="18"/>
                    </w:rPr>
                  </w:pPr>
                  <w:r w:rsidRPr="00D621FA">
                    <w:rPr>
                      <w:sz w:val="18"/>
                      <w:szCs w:val="18"/>
                    </w:rPr>
                    <w:t>Source: NBRM, based on data submitted by banks</w:t>
                  </w:r>
                </w:p>
              </w:txbxContent>
            </v:textbox>
          </v:shape>
        </w:pict>
      </w:r>
      <w:r w:rsidR="006856D3" w:rsidRPr="004634E6">
        <w:rPr>
          <w:rFonts w:cs="Tahoma"/>
        </w:rPr>
        <w:t>Due to the increased interest of banks in investing in government bonds, at the end of 2013, Denar liquid assets went up by 2.4%. Although during 2013 foreign currency liquid assets mainly experienced positive annual growth rates, at the end of 2013 they decreased by 4.5%. In fact, the aforementioned decrease in total liquid assets in the last quarter of 2013 almost entirely resulted from the decline in the foreign currency liquidity. Hence, at the end of 2013, the share of foreign currency liquid assets in the currency structure of liquid assets amounted to 28.5%, which was a decrease of 1.5 percentage points on an annual basis.</w:t>
      </w:r>
    </w:p>
    <w:p w:rsidR="006856D3" w:rsidRPr="004634E6" w:rsidRDefault="006856D3" w:rsidP="00E0293F">
      <w:pPr>
        <w:rPr>
          <w:rFonts w:cs="Tahoma"/>
        </w:rPr>
      </w:pPr>
    </w:p>
    <w:p w:rsidR="006856D3" w:rsidRDefault="00803610" w:rsidP="006856D3">
      <w:pPr>
        <w:ind w:firstLine="510"/>
        <w:rPr>
          <w:rFonts w:cs="Tahoma"/>
        </w:rPr>
      </w:pPr>
      <w:r>
        <w:rPr>
          <w:rFonts w:cs="Tahoma"/>
          <w:noProof/>
        </w:rPr>
        <w:pict>
          <v:shape id="_x0000_s1172" type="#_x0000_t202" style="position:absolute;left:0;text-align:left;margin-left:-225.75pt;margin-top:123.4pt;width:221.2pt;height:263.35pt;z-index:251689984" wrapcoords="-75 0 -75 21550 21600 21550 21600 0 -75 0" stroked="f">
            <v:textbox style="mso-next-textbox:#_x0000_s1172">
              <w:txbxContent>
                <w:p w:rsidR="00280598" w:rsidRDefault="00280598" w:rsidP="006856D3">
                  <w:pPr>
                    <w:pStyle w:val="Caption"/>
                    <w:keepNext/>
                    <w:rPr>
                      <w:lang w:val="en-GB"/>
                    </w:rPr>
                  </w:pPr>
                  <w:r>
                    <w:t>Chart</w:t>
                  </w:r>
                  <w:r w:rsidRPr="007C73AF">
                    <w:t xml:space="preserve"> </w:t>
                  </w:r>
                  <w:fldSimple w:instr=" SEQ Графикон_бр. \* ARABIC ">
                    <w:r>
                      <w:rPr>
                        <w:noProof/>
                      </w:rPr>
                      <w:t>28</w:t>
                    </w:r>
                  </w:fldSimple>
                  <w:r w:rsidRPr="007C73AF">
                    <w:rPr>
                      <w:lang w:val="mk-MK"/>
                    </w:rPr>
                    <w:t xml:space="preserve"> </w:t>
                  </w:r>
                </w:p>
                <w:p w:rsidR="00280598" w:rsidRPr="00E0293F" w:rsidRDefault="00280598" w:rsidP="006856D3">
                  <w:pPr>
                    <w:rPr>
                      <w:b/>
                      <w:sz w:val="20"/>
                      <w:szCs w:val="20"/>
                      <w:lang w:val="en-GB"/>
                    </w:rPr>
                  </w:pPr>
                  <w:r w:rsidRPr="00E0293F">
                    <w:rPr>
                      <w:b/>
                      <w:sz w:val="20"/>
                      <w:szCs w:val="20"/>
                    </w:rPr>
                    <w:t>Change of liquid assets by currency / change of total sources of funds</w:t>
                  </w:r>
                </w:p>
                <w:p w:rsidR="00280598" w:rsidRPr="007C73AF" w:rsidRDefault="00280598" w:rsidP="006856D3">
                  <w:pPr>
                    <w:rPr>
                      <w:sz w:val="18"/>
                      <w:szCs w:val="18"/>
                      <w:lang w:val="mk-MK"/>
                    </w:rPr>
                  </w:pPr>
                  <w:r w:rsidRPr="007C73AF">
                    <w:rPr>
                      <w:sz w:val="18"/>
                      <w:szCs w:val="18"/>
                      <w:lang w:val="mk-MK"/>
                    </w:rPr>
                    <w:t>(</w:t>
                  </w:r>
                  <w:r>
                    <w:rPr>
                      <w:sz w:val="18"/>
                      <w:szCs w:val="18"/>
                    </w:rPr>
                    <w:t>in percentage)</w:t>
                  </w:r>
                </w:p>
                <w:p w:rsidR="00280598" w:rsidRDefault="00280598" w:rsidP="006856D3">
                  <w:pPr>
                    <w:pStyle w:val="Caption"/>
                  </w:pPr>
                  <w:r w:rsidRPr="001A346A">
                    <w:rPr>
                      <w:noProof/>
                    </w:rPr>
                    <w:drawing>
                      <wp:inline distT="0" distB="0" distL="0" distR="0">
                        <wp:extent cx="2571750" cy="249555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7553" cy="2501181"/>
                                </a:xfrm>
                                <a:prstGeom prst="rect">
                                  <a:avLst/>
                                </a:prstGeom>
                                <a:noFill/>
                                <a:ln>
                                  <a:noFill/>
                                </a:ln>
                              </pic:spPr>
                            </pic:pic>
                          </a:graphicData>
                        </a:graphic>
                      </wp:inline>
                    </w:drawing>
                  </w:r>
                </w:p>
                <w:p w:rsidR="00280598" w:rsidRPr="00D621FA" w:rsidRDefault="00280598" w:rsidP="006856D3">
                  <w:pPr>
                    <w:rPr>
                      <w:sz w:val="18"/>
                      <w:szCs w:val="18"/>
                    </w:rPr>
                  </w:pPr>
                  <w:r w:rsidRPr="00D621FA">
                    <w:rPr>
                      <w:sz w:val="18"/>
                      <w:szCs w:val="18"/>
                    </w:rPr>
                    <w:t>Source: NBRM, based on data submitted by banks</w:t>
                  </w:r>
                </w:p>
              </w:txbxContent>
            </v:textbox>
          </v:shape>
        </w:pict>
      </w:r>
      <w:r w:rsidR="006856D3" w:rsidRPr="004634E6">
        <w:rPr>
          <w:rFonts w:cs="Tahoma"/>
        </w:rPr>
        <w:t>The gradual revival of the banks' lending activity in the second half of 2013, is evident also from the downward trend in the share of the annual and quarterly growth of liquid assets in the growth of total funding sources. Thus, if in the first three quarters of the year banks placed more than 50%, on average, of the new sources of funds in liquid financial instruments, in the last quarter of 2013, banks placed only 28.1% of the new sources of funds in liquid instruments. In addition, in the last quarter of 2013, the twelve-month moving average of this indicator decreased, which suggests that banks gradually increase their presence on the credit market and the propensity for taking new credit risk is growing. Confirmation of this is the higher annual growth rate of loans, compared with the annual growth rate of the liquid assets as of December 31, 2013, which amounted to 6.4% and 0.3%, respectively. During 2013, the change in the placements in Denar liquid instruments constantly had a larger share in the change in total funding sources, compared with the change in the foreign currency liquidity instruments.</w:t>
      </w:r>
    </w:p>
    <w:p w:rsidR="00E0293F" w:rsidRDefault="00E0293F" w:rsidP="006856D3">
      <w:pPr>
        <w:ind w:firstLine="510"/>
        <w:rPr>
          <w:rFonts w:cs="Tahoma"/>
        </w:rPr>
      </w:pPr>
    </w:p>
    <w:p w:rsidR="00E0293F" w:rsidRDefault="00E0293F" w:rsidP="006856D3">
      <w:pPr>
        <w:ind w:firstLine="510"/>
        <w:rPr>
          <w:rFonts w:cs="Tahoma"/>
        </w:rPr>
      </w:pPr>
    </w:p>
    <w:p w:rsidR="00E0293F" w:rsidRDefault="00E0293F" w:rsidP="006856D3">
      <w:pPr>
        <w:ind w:firstLine="510"/>
        <w:rPr>
          <w:rFonts w:cs="Tahoma"/>
        </w:rPr>
      </w:pPr>
    </w:p>
    <w:p w:rsidR="00E0293F" w:rsidRDefault="00E0293F" w:rsidP="006856D3">
      <w:pPr>
        <w:ind w:firstLine="510"/>
        <w:rPr>
          <w:rFonts w:cs="Tahoma"/>
        </w:rPr>
      </w:pPr>
    </w:p>
    <w:p w:rsidR="00E0293F" w:rsidRDefault="00E0293F" w:rsidP="006856D3">
      <w:pPr>
        <w:ind w:firstLine="510"/>
        <w:rPr>
          <w:rFonts w:cs="Tahoma"/>
        </w:rPr>
      </w:pPr>
    </w:p>
    <w:p w:rsidR="00E0293F" w:rsidRDefault="00E0293F" w:rsidP="006856D3">
      <w:pPr>
        <w:ind w:firstLine="510"/>
        <w:rPr>
          <w:rFonts w:cs="Tahoma"/>
        </w:rPr>
      </w:pPr>
    </w:p>
    <w:p w:rsidR="00E0293F" w:rsidRPr="004634E6" w:rsidRDefault="00E0293F" w:rsidP="006856D3">
      <w:pPr>
        <w:ind w:firstLine="510"/>
        <w:rPr>
          <w:rFonts w:cs="Tahoma"/>
        </w:rPr>
      </w:pPr>
    </w:p>
    <w:p w:rsidR="006856D3" w:rsidRPr="004634E6" w:rsidRDefault="006856D3" w:rsidP="006856D3">
      <w:pPr>
        <w:ind w:firstLine="510"/>
        <w:rPr>
          <w:rFonts w:cs="Tahoma"/>
        </w:rPr>
      </w:pPr>
    </w:p>
    <w:p w:rsidR="006856D3" w:rsidRPr="004634E6" w:rsidRDefault="00803610" w:rsidP="006856D3">
      <w:pPr>
        <w:ind w:firstLine="510"/>
        <w:rPr>
          <w:rFonts w:cs="Tahoma"/>
        </w:rPr>
      </w:pPr>
      <w:r>
        <w:rPr>
          <w:rFonts w:cs="Tahoma"/>
          <w:noProof/>
        </w:rPr>
        <w:lastRenderedPageBreak/>
        <w:pict>
          <v:shape id="_x0000_s1171" type="#_x0000_t202" style="position:absolute;left:0;text-align:left;margin-left:-228.7pt;margin-top:-4.35pt;width:221.2pt;height:328.5pt;z-index:251688960" wrapcoords="-75 0 -75 21550 21600 21550 21600 0 -75 0" stroked="f">
            <v:textbox style="mso-next-textbox:#_x0000_s1171">
              <w:txbxContent>
                <w:p w:rsidR="00280598" w:rsidRDefault="00280598" w:rsidP="006856D3">
                  <w:pPr>
                    <w:pStyle w:val="Caption"/>
                    <w:keepNext/>
                    <w:rPr>
                      <w:lang w:val="en-GB"/>
                    </w:rPr>
                  </w:pPr>
                  <w:r>
                    <w:t>Chart</w:t>
                  </w:r>
                  <w:r w:rsidRPr="007C73AF">
                    <w:t xml:space="preserve"> </w:t>
                  </w:r>
                  <w:fldSimple w:instr=" SEQ Графикон_бр. \* ARABIC ">
                    <w:r>
                      <w:rPr>
                        <w:noProof/>
                      </w:rPr>
                      <w:t>29</w:t>
                    </w:r>
                  </w:fldSimple>
                  <w:r w:rsidRPr="007C73AF">
                    <w:rPr>
                      <w:lang w:val="mk-MK"/>
                    </w:rPr>
                    <w:t xml:space="preserve"> </w:t>
                  </w:r>
                </w:p>
                <w:p w:rsidR="00280598" w:rsidRPr="00E0293F" w:rsidRDefault="00280598" w:rsidP="006856D3">
                  <w:pPr>
                    <w:rPr>
                      <w:b/>
                      <w:sz w:val="20"/>
                      <w:szCs w:val="20"/>
                      <w:lang w:val="en-GB"/>
                    </w:rPr>
                  </w:pPr>
                  <w:r w:rsidRPr="00E0293F">
                    <w:rPr>
                      <w:b/>
                      <w:sz w:val="20"/>
                      <w:szCs w:val="20"/>
                      <w:lang w:val="en-GB"/>
                    </w:rPr>
                    <w:t>Annual rate of change of liquid assets by banks, by currency (up) and by financial instruments (down)</w:t>
                  </w:r>
                </w:p>
                <w:p w:rsidR="00280598" w:rsidRPr="007C73AF" w:rsidRDefault="00280598" w:rsidP="006856D3">
                  <w:pPr>
                    <w:rPr>
                      <w:sz w:val="18"/>
                      <w:szCs w:val="18"/>
                      <w:lang w:val="mk-MK"/>
                    </w:rPr>
                  </w:pPr>
                  <w:r w:rsidRPr="007C73AF">
                    <w:rPr>
                      <w:sz w:val="18"/>
                      <w:szCs w:val="18"/>
                      <w:lang w:val="mk-MK"/>
                    </w:rPr>
                    <w:t>(</w:t>
                  </w:r>
                  <w:r>
                    <w:rPr>
                      <w:sz w:val="18"/>
                      <w:szCs w:val="18"/>
                    </w:rPr>
                    <w:t>in percentage)</w:t>
                  </w:r>
                </w:p>
                <w:p w:rsidR="00280598" w:rsidRDefault="00280598" w:rsidP="006856D3">
                  <w:pPr>
                    <w:pStyle w:val="Caption"/>
                  </w:pPr>
                  <w:r w:rsidRPr="001A346A">
                    <w:rPr>
                      <w:noProof/>
                      <w:bdr w:val="single" w:sz="4" w:space="0" w:color="auto"/>
                    </w:rPr>
                    <w:drawing>
                      <wp:inline distT="0" distB="0" distL="0" distR="0">
                        <wp:extent cx="2624666" cy="3158067"/>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6360" cy="3160105"/>
                                </a:xfrm>
                                <a:prstGeom prst="rect">
                                  <a:avLst/>
                                </a:prstGeom>
                                <a:noFill/>
                                <a:ln>
                                  <a:noFill/>
                                </a:ln>
                              </pic:spPr>
                            </pic:pic>
                          </a:graphicData>
                        </a:graphic>
                      </wp:inline>
                    </w:drawing>
                  </w:r>
                </w:p>
                <w:p w:rsidR="00280598" w:rsidRPr="00D621FA" w:rsidRDefault="00280598" w:rsidP="006856D3">
                  <w:pPr>
                    <w:rPr>
                      <w:sz w:val="18"/>
                      <w:szCs w:val="18"/>
                    </w:rPr>
                  </w:pPr>
                  <w:r w:rsidRPr="00D621FA">
                    <w:rPr>
                      <w:sz w:val="18"/>
                      <w:szCs w:val="18"/>
                    </w:rPr>
                    <w:t>Source: NBRM, based on data submitted by banks</w:t>
                  </w:r>
                </w:p>
              </w:txbxContent>
            </v:textbox>
          </v:shape>
        </w:pict>
      </w:r>
      <w:r w:rsidR="006856D3" w:rsidRPr="004634E6">
        <w:rPr>
          <w:rFonts w:cs="Tahoma"/>
        </w:rPr>
        <w:t xml:space="preserve">Analyzed by individual bank, as of December 31, 2013, compared to December 31, 2012, liquid assets decreased in eight banks, ranging from 0.5% to 33.5%. </w:t>
      </w:r>
    </w:p>
    <w:p w:rsidR="006856D3" w:rsidRPr="004634E6" w:rsidRDefault="006856D3" w:rsidP="006856D3">
      <w:pPr>
        <w:ind w:firstLine="510"/>
        <w:rPr>
          <w:rFonts w:cs="Tahoma"/>
        </w:rPr>
      </w:pPr>
    </w:p>
    <w:p w:rsidR="006856D3" w:rsidRPr="004634E6" w:rsidRDefault="006856D3" w:rsidP="006856D3">
      <w:pPr>
        <w:ind w:firstLine="510"/>
        <w:rPr>
          <w:rFonts w:cs="Tahoma"/>
        </w:rPr>
      </w:pPr>
    </w:p>
    <w:p w:rsidR="006856D3" w:rsidRDefault="006856D3" w:rsidP="006856D3">
      <w:pPr>
        <w:ind w:firstLine="510"/>
        <w:rPr>
          <w:rFonts w:cs="Tahoma"/>
        </w:rPr>
      </w:pPr>
    </w:p>
    <w:p w:rsidR="00E0293F" w:rsidRDefault="00E0293F" w:rsidP="006856D3">
      <w:pPr>
        <w:ind w:firstLine="510"/>
        <w:rPr>
          <w:rFonts w:cs="Tahoma"/>
        </w:rPr>
      </w:pPr>
    </w:p>
    <w:p w:rsidR="00E0293F" w:rsidRDefault="00E0293F" w:rsidP="006856D3">
      <w:pPr>
        <w:ind w:firstLine="510"/>
        <w:rPr>
          <w:rFonts w:cs="Tahoma"/>
        </w:rPr>
      </w:pPr>
    </w:p>
    <w:p w:rsidR="00E0293F" w:rsidRDefault="00E0293F" w:rsidP="006856D3">
      <w:pPr>
        <w:ind w:firstLine="510"/>
        <w:rPr>
          <w:rFonts w:cs="Tahoma"/>
        </w:rPr>
      </w:pPr>
    </w:p>
    <w:p w:rsidR="00E0293F" w:rsidRDefault="00E0293F" w:rsidP="006856D3">
      <w:pPr>
        <w:ind w:firstLine="510"/>
        <w:rPr>
          <w:rFonts w:cs="Tahoma"/>
        </w:rPr>
      </w:pPr>
    </w:p>
    <w:p w:rsidR="00E0293F" w:rsidRDefault="00E0293F" w:rsidP="006856D3">
      <w:pPr>
        <w:ind w:firstLine="510"/>
        <w:rPr>
          <w:rFonts w:cs="Tahoma"/>
        </w:rPr>
      </w:pPr>
    </w:p>
    <w:p w:rsidR="00E0293F" w:rsidRDefault="00E0293F" w:rsidP="006856D3">
      <w:pPr>
        <w:ind w:firstLine="510"/>
        <w:rPr>
          <w:rFonts w:cs="Tahoma"/>
        </w:rPr>
      </w:pPr>
    </w:p>
    <w:p w:rsidR="00E0293F" w:rsidRDefault="00E0293F" w:rsidP="006856D3">
      <w:pPr>
        <w:ind w:firstLine="510"/>
        <w:rPr>
          <w:rFonts w:cs="Tahoma"/>
        </w:rPr>
      </w:pPr>
    </w:p>
    <w:p w:rsidR="00E0293F" w:rsidRDefault="00E0293F" w:rsidP="006856D3">
      <w:pPr>
        <w:ind w:firstLine="510"/>
        <w:rPr>
          <w:rFonts w:cs="Tahoma"/>
        </w:rPr>
      </w:pPr>
    </w:p>
    <w:p w:rsidR="00E0293F" w:rsidRDefault="00E0293F" w:rsidP="006856D3">
      <w:pPr>
        <w:ind w:firstLine="510"/>
        <w:rPr>
          <w:rFonts w:cs="Tahoma"/>
        </w:rPr>
      </w:pPr>
    </w:p>
    <w:p w:rsidR="00E0293F" w:rsidRDefault="00E0293F" w:rsidP="006856D3">
      <w:pPr>
        <w:ind w:firstLine="510"/>
        <w:rPr>
          <w:rFonts w:cs="Tahoma"/>
        </w:rPr>
      </w:pPr>
    </w:p>
    <w:p w:rsidR="00E0293F" w:rsidRDefault="00E0293F" w:rsidP="006856D3">
      <w:pPr>
        <w:ind w:firstLine="510"/>
        <w:rPr>
          <w:rFonts w:cs="Tahoma"/>
        </w:rPr>
      </w:pPr>
    </w:p>
    <w:p w:rsidR="00E0293F" w:rsidRDefault="00E0293F" w:rsidP="006856D3">
      <w:pPr>
        <w:ind w:firstLine="510"/>
        <w:rPr>
          <w:rFonts w:cs="Tahoma"/>
        </w:rPr>
      </w:pPr>
    </w:p>
    <w:p w:rsidR="00E0293F" w:rsidRDefault="00E0293F" w:rsidP="006856D3">
      <w:pPr>
        <w:ind w:firstLine="510"/>
        <w:rPr>
          <w:rFonts w:cs="Tahoma"/>
        </w:rPr>
      </w:pPr>
    </w:p>
    <w:p w:rsidR="00E0293F" w:rsidRDefault="00E0293F" w:rsidP="006856D3">
      <w:pPr>
        <w:ind w:firstLine="510"/>
        <w:rPr>
          <w:rFonts w:cs="Tahoma"/>
        </w:rPr>
      </w:pPr>
    </w:p>
    <w:p w:rsidR="00E0293F" w:rsidRDefault="00E0293F" w:rsidP="006856D3">
      <w:pPr>
        <w:ind w:firstLine="510"/>
        <w:rPr>
          <w:rFonts w:cs="Tahoma"/>
        </w:rPr>
      </w:pPr>
    </w:p>
    <w:p w:rsidR="00E0293F" w:rsidRDefault="00E0293F" w:rsidP="006856D3">
      <w:pPr>
        <w:ind w:firstLine="510"/>
        <w:rPr>
          <w:rFonts w:cs="Tahoma"/>
        </w:rPr>
      </w:pPr>
    </w:p>
    <w:p w:rsidR="006856D3" w:rsidRDefault="006856D3" w:rsidP="00E0293F">
      <w:pPr>
        <w:rPr>
          <w:rFonts w:cs="Tahoma"/>
        </w:rPr>
      </w:pPr>
    </w:p>
    <w:p w:rsidR="0073195E" w:rsidRPr="004634E6" w:rsidRDefault="0073195E" w:rsidP="00E0293F">
      <w:pPr>
        <w:rPr>
          <w:rFonts w:cs="Tahoma"/>
        </w:rPr>
      </w:pPr>
    </w:p>
    <w:p w:rsidR="006856D3" w:rsidRPr="004634E6" w:rsidRDefault="006856D3" w:rsidP="00C5550A">
      <w:pPr>
        <w:pStyle w:val="Heading3"/>
      </w:pPr>
      <w:bookmarkStart w:id="14" w:name="_Toc386539281"/>
      <w:bookmarkStart w:id="15" w:name="_Toc386539324"/>
      <w:bookmarkStart w:id="16" w:name="_Toc386539443"/>
      <w:bookmarkStart w:id="17" w:name="_Toc393283592"/>
      <w:bookmarkEnd w:id="14"/>
      <w:bookmarkEnd w:id="15"/>
      <w:bookmarkEnd w:id="16"/>
      <w:r w:rsidRPr="004634E6">
        <w:t>Liquidity ratios</w:t>
      </w:r>
      <w:bookmarkEnd w:id="17"/>
    </w:p>
    <w:p w:rsidR="006856D3" w:rsidRPr="004634E6" w:rsidRDefault="006856D3" w:rsidP="006856D3">
      <w:pPr>
        <w:ind w:firstLine="510"/>
        <w:rPr>
          <w:rFonts w:cs="Tahoma"/>
        </w:rPr>
      </w:pPr>
    </w:p>
    <w:p w:rsidR="006856D3" w:rsidRPr="004634E6" w:rsidRDefault="006856D3" w:rsidP="006856D3">
      <w:pPr>
        <w:ind w:firstLine="510"/>
        <w:rPr>
          <w:rFonts w:cs="Tahoma"/>
        </w:rPr>
      </w:pPr>
      <w:r w:rsidRPr="004634E6">
        <w:rPr>
          <w:rFonts w:cs="Tahoma"/>
        </w:rPr>
        <w:t>The dynamics of the liquidity ratios of the banking system</w:t>
      </w:r>
      <w:r w:rsidRPr="004634E6">
        <w:rPr>
          <w:rStyle w:val="FootnoteReference"/>
          <w:rFonts w:cs="Tahoma"/>
        </w:rPr>
        <w:footnoteReference w:id="28"/>
      </w:r>
      <w:r w:rsidRPr="004634E6">
        <w:rPr>
          <w:rFonts w:cs="Tahoma"/>
        </w:rPr>
        <w:t xml:space="preserve"> confirmed the stability of the banks' liquidity position. Confirmation of this comes not only from the level of the indicators during 2013, but also their twelve-month moving average. As of December 31, 2013, the coverage of short-term liabilities with liquid assets increased on an annual basis, while the other liquidity indicators show a moderate decline. Also, the twelve-month trend of the indicators shows an increase over 2013, which is especially evident in the coverage of short-term liabilities, reflecting the changes in the maturity profile of the banks' funding sources, for the purpose of greater participation of the long-term component  of liabilities. In addition, the ratio of coverage of liabilities with different contractual residual maturity with liquid assets, also registered a relatively stable movement. Thus, at the end of </w:t>
      </w:r>
      <w:r w:rsidRPr="004634E6">
        <w:rPr>
          <w:rFonts w:cs="Tahoma"/>
        </w:rPr>
        <w:lastRenderedPageBreak/>
        <w:t>2013, liquid assets covered 44.0% of the liabilities with contractual residual maturity of up to one year. In the past twelve months of 2013, about 90% of the liabilities with contractual residual maturity of up to 30 days were covered by liquid assets. Liquidity ratios by groups of banks are shown in Annex 28.</w:t>
      </w:r>
    </w:p>
    <w:p w:rsidR="006856D3" w:rsidRPr="004634E6" w:rsidRDefault="00803610" w:rsidP="006856D3">
      <w:pPr>
        <w:ind w:firstLine="510"/>
        <w:rPr>
          <w:rFonts w:cs="Tahoma"/>
        </w:rPr>
      </w:pPr>
      <w:r>
        <w:rPr>
          <w:rFonts w:cs="Tahoma"/>
          <w:noProof/>
        </w:rPr>
        <w:pict>
          <v:shape id="_x0000_s1174" type="#_x0000_t202" style="position:absolute;left:0;text-align:left;margin-left:-228.7pt;margin-top:-98.05pt;width:221.2pt;height:376.5pt;z-index:251692032" wrapcoords="-75 0 -75 21550 21600 21550 21600 0 -75 0" stroked="f">
            <v:textbox style="mso-next-textbox:#_x0000_s1174">
              <w:txbxContent>
                <w:p w:rsidR="00280598" w:rsidRPr="0073195E" w:rsidRDefault="00280598" w:rsidP="006856D3">
                  <w:pPr>
                    <w:rPr>
                      <w:b/>
                      <w:sz w:val="20"/>
                      <w:szCs w:val="20"/>
                      <w:lang w:val="en-GB"/>
                    </w:rPr>
                  </w:pPr>
                  <w:r w:rsidRPr="0073195E">
                    <w:rPr>
                      <w:b/>
                      <w:sz w:val="20"/>
                      <w:szCs w:val="20"/>
                    </w:rPr>
                    <w:t xml:space="preserve">Chart </w:t>
                  </w:r>
                  <w:r w:rsidR="00803610" w:rsidRPr="0073195E">
                    <w:rPr>
                      <w:b/>
                      <w:sz w:val="20"/>
                      <w:szCs w:val="20"/>
                    </w:rPr>
                    <w:fldChar w:fldCharType="begin"/>
                  </w:r>
                  <w:r w:rsidRPr="0073195E">
                    <w:rPr>
                      <w:b/>
                      <w:sz w:val="20"/>
                      <w:szCs w:val="20"/>
                    </w:rPr>
                    <w:instrText xml:space="preserve"> SEQ Графикон_бр. \* ARABIC </w:instrText>
                  </w:r>
                  <w:r w:rsidR="00803610" w:rsidRPr="0073195E">
                    <w:rPr>
                      <w:b/>
                      <w:sz w:val="20"/>
                      <w:szCs w:val="20"/>
                    </w:rPr>
                    <w:fldChar w:fldCharType="separate"/>
                  </w:r>
                  <w:r>
                    <w:rPr>
                      <w:b/>
                      <w:noProof/>
                      <w:sz w:val="20"/>
                      <w:szCs w:val="20"/>
                    </w:rPr>
                    <w:t>30</w:t>
                  </w:r>
                  <w:r w:rsidR="00803610" w:rsidRPr="0073195E">
                    <w:rPr>
                      <w:b/>
                      <w:sz w:val="20"/>
                      <w:szCs w:val="20"/>
                    </w:rPr>
                    <w:fldChar w:fldCharType="end"/>
                  </w:r>
                  <w:r w:rsidRPr="0073195E">
                    <w:rPr>
                      <w:b/>
                      <w:sz w:val="20"/>
                      <w:szCs w:val="20"/>
                      <w:lang w:val="mk-MK"/>
                    </w:rPr>
                    <w:t xml:space="preserve"> </w:t>
                  </w:r>
                </w:p>
                <w:p w:rsidR="00280598" w:rsidRPr="0073195E" w:rsidRDefault="00280598" w:rsidP="006856D3">
                  <w:pPr>
                    <w:rPr>
                      <w:b/>
                      <w:sz w:val="20"/>
                      <w:szCs w:val="20"/>
                      <w:lang w:val="en-GB"/>
                    </w:rPr>
                  </w:pPr>
                  <w:r w:rsidRPr="0073195E">
                    <w:rPr>
                      <w:b/>
                      <w:sz w:val="20"/>
                      <w:szCs w:val="20"/>
                      <w:lang w:val="en-GB"/>
                    </w:rPr>
                    <w:t>Liquidity rations of the banking system –level (up) and twelvemonths moving average (down)</w:t>
                  </w:r>
                </w:p>
                <w:p w:rsidR="00280598" w:rsidRPr="007C73AF" w:rsidRDefault="00280598" w:rsidP="006856D3">
                  <w:pPr>
                    <w:rPr>
                      <w:sz w:val="18"/>
                      <w:szCs w:val="18"/>
                      <w:lang w:val="mk-MK"/>
                    </w:rPr>
                  </w:pPr>
                  <w:r w:rsidRPr="007C73AF">
                    <w:rPr>
                      <w:sz w:val="18"/>
                      <w:szCs w:val="18"/>
                      <w:lang w:val="mk-MK"/>
                    </w:rPr>
                    <w:t>(</w:t>
                  </w:r>
                  <w:r>
                    <w:rPr>
                      <w:sz w:val="18"/>
                      <w:szCs w:val="18"/>
                    </w:rPr>
                    <w:t>in percentage)</w:t>
                  </w:r>
                </w:p>
                <w:p w:rsidR="00280598" w:rsidRDefault="00280598" w:rsidP="006856D3">
                  <w:pPr>
                    <w:pStyle w:val="Caption"/>
                  </w:pPr>
                  <w:r w:rsidRPr="005C5945">
                    <w:rPr>
                      <w:noProof/>
                      <w:bdr w:val="single" w:sz="4" w:space="0" w:color="auto"/>
                    </w:rPr>
                    <w:drawing>
                      <wp:inline distT="0" distB="0" distL="0" distR="0">
                        <wp:extent cx="2619375" cy="3800475"/>
                        <wp:effectExtent l="1905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6360" cy="3810610"/>
                                </a:xfrm>
                                <a:prstGeom prst="rect">
                                  <a:avLst/>
                                </a:prstGeom>
                                <a:noFill/>
                                <a:ln>
                                  <a:noFill/>
                                </a:ln>
                              </pic:spPr>
                            </pic:pic>
                          </a:graphicData>
                        </a:graphic>
                      </wp:inline>
                    </w:drawing>
                  </w:r>
                </w:p>
                <w:p w:rsidR="00280598" w:rsidRPr="00D621FA" w:rsidRDefault="00280598" w:rsidP="006856D3">
                  <w:pPr>
                    <w:rPr>
                      <w:sz w:val="18"/>
                      <w:szCs w:val="18"/>
                    </w:rPr>
                  </w:pPr>
                  <w:r w:rsidRPr="00D621FA">
                    <w:rPr>
                      <w:sz w:val="18"/>
                      <w:szCs w:val="18"/>
                    </w:rPr>
                    <w:t>Source: NBRM, based on data submitted by banks</w:t>
                  </w:r>
                </w:p>
              </w:txbxContent>
            </v:textbox>
          </v:shape>
        </w:pict>
      </w:r>
    </w:p>
    <w:p w:rsidR="006856D3" w:rsidRPr="004634E6" w:rsidRDefault="006856D3" w:rsidP="006856D3">
      <w:pPr>
        <w:ind w:firstLine="510"/>
        <w:rPr>
          <w:rFonts w:cs="Tahoma"/>
        </w:rPr>
      </w:pPr>
      <w:r w:rsidRPr="004634E6">
        <w:rPr>
          <w:rFonts w:cs="Tahoma"/>
        </w:rPr>
        <w:t>During 2013, the loans to deposits ratio ranged in the interval from 86.7% to 90.4%, and by the end of 2013 it registered an annual increase of 0.7 percentage points. This is due to the slightly faster growth of loans in 2013 (6.4%), compared with the growth of deposits (5.7%). As of December 31, 2013, this indicator was above 100% in four banks with share in the total assets of the banking system of 14.6%, and its highest value is 128.3%.</w:t>
      </w:r>
    </w:p>
    <w:p w:rsidR="006856D3" w:rsidRDefault="006856D3" w:rsidP="006856D3">
      <w:pPr>
        <w:ind w:firstLine="510"/>
        <w:rPr>
          <w:rFonts w:cs="Tahoma"/>
        </w:rPr>
      </w:pPr>
      <w:r w:rsidRPr="004634E6">
        <w:rPr>
          <w:rFonts w:cs="Tahoma"/>
        </w:rPr>
        <w:t> </w:t>
      </w: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Pr="004634E6" w:rsidRDefault="00803610" w:rsidP="006856D3">
      <w:pPr>
        <w:ind w:firstLine="510"/>
        <w:rPr>
          <w:rFonts w:cs="Tahoma"/>
        </w:rPr>
      </w:pPr>
      <w:r>
        <w:rPr>
          <w:rFonts w:cs="Tahoma"/>
          <w:noProof/>
        </w:rPr>
        <w:pict>
          <v:shape id="_x0000_s1173" type="#_x0000_t202" style="position:absolute;left:0;text-align:left;margin-left:-233.35pt;margin-top:11.65pt;width:225.85pt;height:202.5pt;z-index:251691008" wrapcoords="-75 0 -75 21550 21600 21550 21600 0 -75 0" stroked="f">
            <v:textbox style="mso-next-textbox:#_x0000_s1173">
              <w:txbxContent>
                <w:p w:rsidR="00280598" w:rsidRDefault="00280598" w:rsidP="006856D3">
                  <w:pPr>
                    <w:pStyle w:val="Caption"/>
                    <w:keepNext/>
                    <w:rPr>
                      <w:lang w:val="en-GB"/>
                    </w:rPr>
                  </w:pPr>
                  <w:r>
                    <w:t>Chart</w:t>
                  </w:r>
                  <w:r w:rsidRPr="007C73AF">
                    <w:t xml:space="preserve"> </w:t>
                  </w:r>
                  <w:fldSimple w:instr=" SEQ Графикон_бр. \* ARABIC ">
                    <w:r>
                      <w:rPr>
                        <w:noProof/>
                      </w:rPr>
                      <w:t>31</w:t>
                    </w:r>
                  </w:fldSimple>
                  <w:r w:rsidRPr="007C73AF">
                    <w:rPr>
                      <w:lang w:val="mk-MK"/>
                    </w:rPr>
                    <w:t xml:space="preserve"> </w:t>
                  </w:r>
                </w:p>
                <w:p w:rsidR="00280598" w:rsidRDefault="00280598" w:rsidP="006856D3">
                  <w:pPr>
                    <w:pStyle w:val="Caption"/>
                    <w:rPr>
                      <w:b w:val="0"/>
                    </w:rPr>
                  </w:pPr>
                  <w:r>
                    <w:t>Dynamics of loan/deposit ratio</w:t>
                  </w:r>
                </w:p>
                <w:p w:rsidR="00280598" w:rsidRPr="007C73AF" w:rsidRDefault="00280598" w:rsidP="006856D3">
                  <w:pPr>
                    <w:rPr>
                      <w:sz w:val="18"/>
                      <w:szCs w:val="18"/>
                      <w:lang w:val="mk-MK"/>
                    </w:rPr>
                  </w:pPr>
                  <w:r w:rsidRPr="007C73AF">
                    <w:rPr>
                      <w:sz w:val="18"/>
                      <w:szCs w:val="18"/>
                      <w:lang w:val="mk-MK"/>
                    </w:rPr>
                    <w:t>(</w:t>
                  </w:r>
                  <w:r>
                    <w:rPr>
                      <w:sz w:val="18"/>
                      <w:szCs w:val="18"/>
                    </w:rPr>
                    <w:t>in percentage)</w:t>
                  </w:r>
                </w:p>
                <w:p w:rsidR="00280598" w:rsidRDefault="00280598" w:rsidP="006856D3">
                  <w:pPr>
                    <w:pStyle w:val="Caption"/>
                  </w:pPr>
                  <w:r w:rsidRPr="005C5945">
                    <w:rPr>
                      <w:noProof/>
                    </w:rPr>
                    <w:drawing>
                      <wp:inline distT="0" distB="0" distL="0" distR="0">
                        <wp:extent cx="2676525" cy="1838325"/>
                        <wp:effectExtent l="1905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0009" cy="1840718"/>
                                </a:xfrm>
                                <a:prstGeom prst="rect">
                                  <a:avLst/>
                                </a:prstGeom>
                                <a:noFill/>
                                <a:ln>
                                  <a:noFill/>
                                </a:ln>
                              </pic:spPr>
                            </pic:pic>
                          </a:graphicData>
                        </a:graphic>
                      </wp:inline>
                    </w:drawing>
                  </w:r>
                </w:p>
                <w:p w:rsidR="00280598" w:rsidRPr="00D621FA" w:rsidRDefault="00280598" w:rsidP="006856D3">
                  <w:pPr>
                    <w:rPr>
                      <w:sz w:val="18"/>
                      <w:szCs w:val="18"/>
                    </w:rPr>
                  </w:pPr>
                  <w:r w:rsidRPr="00D621FA">
                    <w:rPr>
                      <w:sz w:val="18"/>
                      <w:szCs w:val="18"/>
                    </w:rPr>
                    <w:t>Source: NBRM, based on data submitted by banks</w:t>
                  </w:r>
                </w:p>
              </w:txbxContent>
            </v:textbox>
          </v:shape>
        </w:pict>
      </w:r>
    </w:p>
    <w:p w:rsidR="006856D3" w:rsidRDefault="006856D3" w:rsidP="006856D3">
      <w:pPr>
        <w:ind w:firstLine="510"/>
        <w:rPr>
          <w:rFonts w:cs="Tahoma"/>
        </w:rPr>
      </w:pPr>
      <w:r w:rsidRPr="004634E6">
        <w:rPr>
          <w:rFonts w:cs="Tahoma"/>
        </w:rPr>
        <w:t>Analyzed by bank, at the end of 2013, the biggest difference is registered in the share of liquid assets to total assets, where the variation coefficient, expressed as the ratio between the standard deviation and the average value of the indicator for the relevant date is the highest. Thus in all liquidity ratios, the variation coefficient experienced a downward trend during 2013, which shows a decreased dispersion of the value of the ratios among individual banks.</w:t>
      </w: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6856D3" w:rsidRPr="004634E6" w:rsidRDefault="006856D3" w:rsidP="0073195E">
      <w:pPr>
        <w:rPr>
          <w:rFonts w:cs="Tahoma"/>
        </w:rPr>
      </w:pPr>
    </w:p>
    <w:p w:rsidR="006856D3" w:rsidRPr="004634E6" w:rsidRDefault="00803610" w:rsidP="006856D3">
      <w:pPr>
        <w:ind w:firstLine="510"/>
        <w:rPr>
          <w:rFonts w:cs="Tahoma"/>
        </w:rPr>
      </w:pPr>
      <w:r>
        <w:rPr>
          <w:rFonts w:cs="Tahoma"/>
          <w:noProof/>
        </w:rPr>
        <w:lastRenderedPageBreak/>
        <w:pict>
          <v:shape id="_x0000_s1175" type="#_x0000_t202" style="position:absolute;left:0;text-align:left;margin-left:-228.7pt;margin-top:-6.6pt;width:221.2pt;height:540.75pt;z-index:251693056" wrapcoords="-75 0 -75 21550 21600 21550 21600 0 -75 0" stroked="f">
            <v:textbox style="mso-next-textbox:#_x0000_s1175">
              <w:txbxContent>
                <w:p w:rsidR="00280598" w:rsidRPr="00B7202F" w:rsidRDefault="00280598" w:rsidP="006856D3">
                  <w:pPr>
                    <w:pStyle w:val="Caption"/>
                    <w:keepNext/>
                    <w:rPr>
                      <w:lang w:val="en-GB"/>
                    </w:rPr>
                  </w:pPr>
                  <w:r w:rsidRPr="00B7202F">
                    <w:t xml:space="preserve">Chart </w:t>
                  </w:r>
                  <w:fldSimple w:instr=" SEQ Графикон_бр. \* ARABIC ">
                    <w:r>
                      <w:rPr>
                        <w:noProof/>
                      </w:rPr>
                      <w:t>32</w:t>
                    </w:r>
                  </w:fldSimple>
                  <w:r w:rsidRPr="00B7202F">
                    <w:rPr>
                      <w:lang w:val="mk-MK"/>
                    </w:rPr>
                    <w:t xml:space="preserve"> </w:t>
                  </w:r>
                </w:p>
                <w:p w:rsidR="00280598" w:rsidRDefault="00280598" w:rsidP="006856D3">
                  <w:pPr>
                    <w:pStyle w:val="Caption"/>
                  </w:pPr>
                  <w:r>
                    <w:t>Dynamics and distribution of liquidity ratios by banks</w:t>
                  </w:r>
                </w:p>
                <w:p w:rsidR="00280598" w:rsidRPr="0073195E" w:rsidRDefault="00280598" w:rsidP="006856D3">
                  <w:pPr>
                    <w:rPr>
                      <w:sz w:val="20"/>
                      <w:szCs w:val="20"/>
                    </w:rPr>
                  </w:pPr>
                  <w:r w:rsidRPr="0073195E">
                    <w:rPr>
                      <w:sz w:val="20"/>
                      <w:szCs w:val="20"/>
                    </w:rPr>
                    <w:t>- liquid assets / total assets (up)</w:t>
                  </w:r>
                </w:p>
                <w:p w:rsidR="00280598" w:rsidRPr="0073195E" w:rsidRDefault="00280598" w:rsidP="006856D3">
                  <w:pPr>
                    <w:rPr>
                      <w:sz w:val="20"/>
                      <w:szCs w:val="20"/>
                    </w:rPr>
                  </w:pPr>
                  <w:r w:rsidRPr="0073195E">
                    <w:rPr>
                      <w:sz w:val="20"/>
                      <w:szCs w:val="20"/>
                    </w:rPr>
                    <w:t>- liquid assets / short-term liabilities (middle)</w:t>
                  </w:r>
                </w:p>
                <w:p w:rsidR="00280598" w:rsidRPr="0073195E" w:rsidRDefault="00280598" w:rsidP="006856D3">
                  <w:pPr>
                    <w:rPr>
                      <w:sz w:val="20"/>
                      <w:szCs w:val="20"/>
                    </w:rPr>
                  </w:pPr>
                  <w:r w:rsidRPr="0073195E">
                    <w:rPr>
                      <w:sz w:val="20"/>
                      <w:szCs w:val="20"/>
                    </w:rPr>
                    <w:t>- loans / deposits (down)</w:t>
                  </w:r>
                </w:p>
                <w:p w:rsidR="00280598" w:rsidRPr="007C73AF" w:rsidRDefault="00280598" w:rsidP="006856D3">
                  <w:pPr>
                    <w:rPr>
                      <w:sz w:val="18"/>
                      <w:szCs w:val="18"/>
                      <w:lang w:val="mk-MK"/>
                    </w:rPr>
                  </w:pPr>
                  <w:r w:rsidRPr="007C73AF">
                    <w:rPr>
                      <w:sz w:val="18"/>
                      <w:szCs w:val="18"/>
                      <w:lang w:val="mk-MK"/>
                    </w:rPr>
                    <w:t>(</w:t>
                  </w:r>
                  <w:r>
                    <w:rPr>
                      <w:sz w:val="18"/>
                      <w:szCs w:val="18"/>
                    </w:rPr>
                    <w:t>in millions of denars and in percentage)</w:t>
                  </w:r>
                </w:p>
                <w:p w:rsidR="00280598" w:rsidRDefault="00280598" w:rsidP="006856D3">
                  <w:pPr>
                    <w:pStyle w:val="Caption"/>
                  </w:pPr>
                  <w:r w:rsidRPr="006766C7">
                    <w:rPr>
                      <w:noProof/>
                      <w:bdr w:val="single" w:sz="4" w:space="0" w:color="auto"/>
                    </w:rPr>
                    <w:drawing>
                      <wp:inline distT="0" distB="0" distL="0" distR="0">
                        <wp:extent cx="2624667" cy="5562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6360" cy="5566188"/>
                                </a:xfrm>
                                <a:prstGeom prst="rect">
                                  <a:avLst/>
                                </a:prstGeom>
                                <a:noFill/>
                                <a:ln>
                                  <a:noFill/>
                                </a:ln>
                              </pic:spPr>
                            </pic:pic>
                          </a:graphicData>
                        </a:graphic>
                      </wp:inline>
                    </w:drawing>
                  </w:r>
                </w:p>
                <w:p w:rsidR="00280598" w:rsidRPr="00D621FA" w:rsidRDefault="00280598" w:rsidP="006856D3">
                  <w:pPr>
                    <w:rPr>
                      <w:sz w:val="18"/>
                      <w:szCs w:val="18"/>
                    </w:rPr>
                  </w:pPr>
                  <w:r w:rsidRPr="00D621FA">
                    <w:rPr>
                      <w:sz w:val="18"/>
                      <w:szCs w:val="18"/>
                    </w:rPr>
                    <w:t>Source: NBRM, based on data submitted by banks</w:t>
                  </w:r>
                </w:p>
              </w:txbxContent>
            </v:textbox>
          </v:shape>
        </w:pict>
      </w:r>
      <w:r w:rsidR="006856D3" w:rsidRPr="004634E6">
        <w:rPr>
          <w:rFonts w:cs="Tahoma"/>
        </w:rPr>
        <w:t xml:space="preserve">On the other hand, the interquartile difference is the biggest in the ratio of coverage of short-term liabilities with liquid assets, showing that in this ratio banks' deviations from the median value of the indicator are the largest. The share of liquid assets in total assets registered an annual reduction in eight banks, which at the end of 2013 accounted for 57.3% of total assets. Coverage of short-term liabilities with liquid assets registered an annual increase in nine banks, which accounted for 48.7% of the total assets of the banking system as of December 31, 2013. The loans to deposits ratio registered an annual increase in six banks with a share in the total assets of 19.7%, while the decrease in other banks ranged between 0.7 and 22.3 percentage points. </w:t>
      </w:r>
    </w:p>
    <w:p w:rsidR="006856D3" w:rsidRPr="004634E6" w:rsidRDefault="006856D3" w:rsidP="006856D3">
      <w:pPr>
        <w:ind w:firstLine="510"/>
        <w:rPr>
          <w:rFonts w:cs="Tahoma"/>
        </w:rPr>
      </w:pPr>
    </w:p>
    <w:p w:rsidR="006856D3" w:rsidRPr="004634E6" w:rsidRDefault="006856D3" w:rsidP="006856D3">
      <w:pPr>
        <w:ind w:firstLine="510"/>
        <w:rPr>
          <w:rFonts w:cs="Tahoma"/>
        </w:rPr>
      </w:pPr>
    </w:p>
    <w:p w:rsidR="006856D3" w:rsidRPr="004634E6" w:rsidRDefault="006856D3" w:rsidP="006856D3">
      <w:pPr>
        <w:ind w:firstLine="510"/>
        <w:rPr>
          <w:rFonts w:cs="Tahoma"/>
        </w:rPr>
      </w:pPr>
    </w:p>
    <w:p w:rsidR="006856D3" w:rsidRPr="004634E6" w:rsidRDefault="006856D3" w:rsidP="006856D3">
      <w:pPr>
        <w:ind w:firstLine="510"/>
        <w:rPr>
          <w:rFonts w:cs="Tahoma"/>
        </w:rPr>
      </w:pPr>
    </w:p>
    <w:p w:rsidR="006856D3" w:rsidRPr="004634E6" w:rsidRDefault="006856D3" w:rsidP="006856D3">
      <w:pPr>
        <w:ind w:firstLine="510"/>
        <w:rPr>
          <w:rFonts w:cs="Tahoma"/>
        </w:rPr>
      </w:pPr>
    </w:p>
    <w:p w:rsidR="006856D3" w:rsidRPr="004634E6" w:rsidRDefault="006856D3" w:rsidP="006856D3">
      <w:pPr>
        <w:ind w:firstLine="510"/>
        <w:rPr>
          <w:rFonts w:cs="Tahoma"/>
        </w:rPr>
      </w:pPr>
    </w:p>
    <w:p w:rsidR="006856D3" w:rsidRPr="004634E6" w:rsidRDefault="006856D3" w:rsidP="006856D3">
      <w:pPr>
        <w:ind w:firstLine="510"/>
        <w:rPr>
          <w:rFonts w:cs="Tahoma"/>
        </w:rPr>
      </w:pPr>
    </w:p>
    <w:p w:rsidR="006856D3" w:rsidRDefault="006856D3"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Pr="004634E6" w:rsidRDefault="0073195E" w:rsidP="006856D3">
      <w:pPr>
        <w:ind w:firstLine="510"/>
        <w:rPr>
          <w:rFonts w:cs="Tahoma"/>
        </w:rPr>
      </w:pPr>
    </w:p>
    <w:p w:rsidR="006856D3" w:rsidRPr="004634E6" w:rsidRDefault="006856D3" w:rsidP="006856D3">
      <w:pPr>
        <w:ind w:firstLine="510"/>
        <w:rPr>
          <w:rFonts w:cs="Tahoma"/>
        </w:rPr>
      </w:pPr>
    </w:p>
    <w:p w:rsidR="006856D3" w:rsidRPr="004634E6" w:rsidRDefault="00803610" w:rsidP="006856D3">
      <w:pPr>
        <w:ind w:firstLine="510"/>
        <w:rPr>
          <w:rFonts w:cs="Tahoma"/>
        </w:rPr>
      </w:pPr>
      <w:r>
        <w:rPr>
          <w:rFonts w:cs="Tahoma"/>
          <w:noProof/>
        </w:rPr>
        <w:lastRenderedPageBreak/>
        <w:pict>
          <v:shape id="_x0000_s1176" type="#_x0000_t202" style="position:absolute;left:0;text-align:left;margin-left:-228.7pt;margin-top:2.15pt;width:221.2pt;height:367pt;z-index:251694080" wrapcoords="-75 0 -75 21550 21600 21550 21600 0 -75 0" stroked="f">
            <v:textbox style="mso-next-textbox:#_x0000_s1176">
              <w:txbxContent>
                <w:p w:rsidR="00280598" w:rsidRPr="00B7202F" w:rsidRDefault="00280598" w:rsidP="006856D3">
                  <w:pPr>
                    <w:pStyle w:val="Caption"/>
                    <w:keepNext/>
                    <w:rPr>
                      <w:lang w:val="en-GB"/>
                    </w:rPr>
                  </w:pPr>
                  <w:r w:rsidRPr="00B7202F">
                    <w:t xml:space="preserve">Chart </w:t>
                  </w:r>
                  <w:fldSimple w:instr=" SEQ Графикон_бр. \* ARABIC ">
                    <w:r>
                      <w:rPr>
                        <w:noProof/>
                      </w:rPr>
                      <w:t>33</w:t>
                    </w:r>
                  </w:fldSimple>
                  <w:r w:rsidRPr="00B7202F">
                    <w:rPr>
                      <w:lang w:val="mk-MK"/>
                    </w:rPr>
                    <w:t xml:space="preserve"> </w:t>
                  </w:r>
                </w:p>
                <w:p w:rsidR="00280598" w:rsidRDefault="00280598" w:rsidP="006856D3">
                  <w:pPr>
                    <w:pStyle w:val="Caption"/>
                  </w:pPr>
                  <w:r>
                    <w:t>Liquidity ratios</w:t>
                  </w:r>
                  <w:r w:rsidRPr="008C713F">
                    <w:rPr>
                      <w:lang w:val="en-GB"/>
                    </w:rPr>
                    <w:t xml:space="preserve"> </w:t>
                  </w:r>
                  <w:r>
                    <w:rPr>
                      <w:lang w:val="en-GB"/>
                    </w:rPr>
                    <w:t xml:space="preserve">of the banking system by currency </w:t>
                  </w:r>
                  <w:r>
                    <w:t>– denar (up) and foreign currency (down)</w:t>
                  </w:r>
                </w:p>
                <w:p w:rsidR="00280598" w:rsidRPr="007C73AF" w:rsidRDefault="00280598" w:rsidP="006856D3">
                  <w:pPr>
                    <w:rPr>
                      <w:sz w:val="18"/>
                      <w:szCs w:val="18"/>
                      <w:lang w:val="mk-MK"/>
                    </w:rPr>
                  </w:pPr>
                  <w:r w:rsidRPr="007C73AF">
                    <w:rPr>
                      <w:sz w:val="18"/>
                      <w:szCs w:val="18"/>
                      <w:lang w:val="mk-MK"/>
                    </w:rPr>
                    <w:t>(</w:t>
                  </w:r>
                  <w:r>
                    <w:rPr>
                      <w:sz w:val="18"/>
                      <w:szCs w:val="18"/>
                    </w:rPr>
                    <w:t>in percentage)</w:t>
                  </w:r>
                </w:p>
                <w:p w:rsidR="00280598" w:rsidRDefault="00280598" w:rsidP="006856D3">
                  <w:pPr>
                    <w:pStyle w:val="Caption"/>
                  </w:pPr>
                  <w:r w:rsidRPr="005C5945">
                    <w:rPr>
                      <w:noProof/>
                      <w:bdr w:val="single" w:sz="4" w:space="0" w:color="auto"/>
                    </w:rPr>
                    <w:drawing>
                      <wp:inline distT="0" distB="0" distL="0" distR="0">
                        <wp:extent cx="2623802" cy="363220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6360" cy="3635741"/>
                                </a:xfrm>
                                <a:prstGeom prst="rect">
                                  <a:avLst/>
                                </a:prstGeom>
                                <a:noFill/>
                                <a:ln>
                                  <a:noFill/>
                                </a:ln>
                              </pic:spPr>
                            </pic:pic>
                          </a:graphicData>
                        </a:graphic>
                      </wp:inline>
                    </w:drawing>
                  </w:r>
                </w:p>
                <w:p w:rsidR="00280598" w:rsidRPr="00D621FA" w:rsidRDefault="00280598" w:rsidP="006856D3">
                  <w:pPr>
                    <w:rPr>
                      <w:sz w:val="18"/>
                      <w:szCs w:val="18"/>
                    </w:rPr>
                  </w:pPr>
                  <w:r w:rsidRPr="00D621FA">
                    <w:rPr>
                      <w:sz w:val="18"/>
                      <w:szCs w:val="18"/>
                    </w:rPr>
                    <w:t>Source: NBRM, based on data submitted by banks</w:t>
                  </w:r>
                </w:p>
              </w:txbxContent>
            </v:textbox>
          </v:shape>
        </w:pict>
      </w:r>
      <w:r w:rsidR="006856D3" w:rsidRPr="004634E6">
        <w:rPr>
          <w:rFonts w:cs="Tahoma"/>
        </w:rPr>
        <w:t>The moderate growth in liquid assets during 2013 caused a decline in the liquidity indicators according to the currency structure. This phenomenon was most obvious in the coverage of the household Denar deposits with Denar liquid assets, but it is present also in other currency indicators of liquidity. The reduction of the loans to deposits ratio was slightly more pronounced in the Denar ratio, which is a consequence of the stronger propensity to save in Denars compared to foreign currency savings. It is notable that there is a significant difference in the coverage of liabilities with residual maturity up to one year with liquid assets by currency. Thus, the coverage of foreign liabilities with residual maturity of up to one year with foreign currency liquid assets is more than twice lower than the corresponding ratio in Denars.</w:t>
      </w:r>
    </w:p>
    <w:p w:rsidR="006856D3" w:rsidRDefault="006856D3"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73195E" w:rsidRDefault="0073195E" w:rsidP="006856D3">
      <w:pPr>
        <w:ind w:firstLine="510"/>
        <w:rPr>
          <w:rFonts w:cs="Tahoma"/>
        </w:rPr>
      </w:pPr>
    </w:p>
    <w:p w:rsidR="00376970" w:rsidRDefault="00376970" w:rsidP="006856D3">
      <w:pPr>
        <w:ind w:firstLine="510"/>
        <w:rPr>
          <w:rFonts w:cs="Tahoma"/>
        </w:rPr>
      </w:pPr>
    </w:p>
    <w:p w:rsidR="0073195E" w:rsidRPr="004634E6" w:rsidRDefault="00803610" w:rsidP="006856D3">
      <w:pPr>
        <w:ind w:firstLine="510"/>
        <w:rPr>
          <w:rFonts w:cs="Tahoma"/>
        </w:rPr>
      </w:pPr>
      <w:r>
        <w:rPr>
          <w:rFonts w:cs="Tahoma"/>
          <w:noProof/>
        </w:rPr>
        <w:pict>
          <v:shape id="_x0000_s1177" type="#_x0000_t202" style="position:absolute;left:0;text-align:left;margin-left:-228.7pt;margin-top:4.7pt;width:221.2pt;height:209.45pt;z-index:251695104" wrapcoords="-75 0 -75 21550 21600 21550 21600 0 -75 0" stroked="f">
            <v:textbox style="mso-next-textbox:#_x0000_s1177">
              <w:txbxContent>
                <w:p w:rsidR="00280598" w:rsidRPr="008C713F" w:rsidRDefault="00280598" w:rsidP="006856D3">
                  <w:pPr>
                    <w:pStyle w:val="Caption"/>
                    <w:keepNext/>
                    <w:rPr>
                      <w:lang w:val="en-GB"/>
                    </w:rPr>
                  </w:pPr>
                  <w:r w:rsidRPr="008C713F">
                    <w:t xml:space="preserve">Chart </w:t>
                  </w:r>
                  <w:fldSimple w:instr=" SEQ Графикон_бр. \* ARABIC ">
                    <w:r>
                      <w:rPr>
                        <w:noProof/>
                      </w:rPr>
                      <w:t>34</w:t>
                    </w:r>
                  </w:fldSimple>
                  <w:r w:rsidRPr="008C713F">
                    <w:rPr>
                      <w:lang w:val="mk-MK"/>
                    </w:rPr>
                    <w:t xml:space="preserve"> </w:t>
                  </w:r>
                </w:p>
                <w:p w:rsidR="00280598" w:rsidRPr="00376970" w:rsidRDefault="00280598" w:rsidP="006856D3">
                  <w:pPr>
                    <w:rPr>
                      <w:b/>
                      <w:sz w:val="20"/>
                      <w:szCs w:val="20"/>
                      <w:lang w:val="en-GB"/>
                    </w:rPr>
                  </w:pPr>
                  <w:r w:rsidRPr="00376970">
                    <w:rPr>
                      <w:b/>
                      <w:sz w:val="20"/>
                      <w:szCs w:val="20"/>
                      <w:lang w:val="en-GB"/>
                    </w:rPr>
                    <w:t>Regulatory liquidity</w:t>
                  </w:r>
                  <w:r w:rsidRPr="00376970">
                    <w:rPr>
                      <w:b/>
                      <w:sz w:val="20"/>
                      <w:szCs w:val="20"/>
                      <w:lang w:val="mk-MK"/>
                    </w:rPr>
                    <w:t xml:space="preserve"> </w:t>
                  </w:r>
                  <w:r w:rsidRPr="00376970">
                    <w:rPr>
                      <w:b/>
                      <w:sz w:val="20"/>
                      <w:szCs w:val="20"/>
                      <w:lang w:val="en-GB"/>
                    </w:rPr>
                    <w:t xml:space="preserve">ratios of the banking system </w:t>
                  </w:r>
                </w:p>
                <w:p w:rsidR="00280598" w:rsidRPr="00A763E3" w:rsidRDefault="00280598" w:rsidP="006856D3">
                  <w:pPr>
                    <w:rPr>
                      <w:sz w:val="18"/>
                      <w:szCs w:val="18"/>
                      <w:lang w:val="mk-MK"/>
                    </w:rPr>
                  </w:pPr>
                  <w:r w:rsidRPr="00A763E3">
                    <w:rPr>
                      <w:sz w:val="18"/>
                      <w:szCs w:val="18"/>
                    </w:rPr>
                    <w:t>(in points)</w:t>
                  </w:r>
                </w:p>
                <w:p w:rsidR="00280598" w:rsidRDefault="00280598" w:rsidP="006856D3">
                  <w:pPr>
                    <w:pStyle w:val="Caption"/>
                  </w:pPr>
                  <w:r w:rsidRPr="005C5945">
                    <w:rPr>
                      <w:noProof/>
                    </w:rPr>
                    <w:drawing>
                      <wp:inline distT="0" distB="0" distL="0" distR="0">
                        <wp:extent cx="2600325" cy="1819275"/>
                        <wp:effectExtent l="19050" t="0" r="9525"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7813" cy="1817517"/>
                                </a:xfrm>
                                <a:prstGeom prst="rect">
                                  <a:avLst/>
                                </a:prstGeom>
                                <a:noFill/>
                                <a:ln>
                                  <a:noFill/>
                                </a:ln>
                              </pic:spPr>
                            </pic:pic>
                          </a:graphicData>
                        </a:graphic>
                      </wp:inline>
                    </w:drawing>
                  </w:r>
                </w:p>
                <w:p w:rsidR="00280598" w:rsidRPr="00D621FA" w:rsidRDefault="00280598" w:rsidP="006856D3">
                  <w:pPr>
                    <w:rPr>
                      <w:sz w:val="18"/>
                      <w:szCs w:val="18"/>
                    </w:rPr>
                  </w:pPr>
                  <w:r w:rsidRPr="00D621FA">
                    <w:rPr>
                      <w:sz w:val="18"/>
                      <w:szCs w:val="18"/>
                    </w:rPr>
                    <w:t>Source: NBRM, based on data submitted by banks</w:t>
                  </w:r>
                </w:p>
              </w:txbxContent>
            </v:textbox>
          </v:shape>
        </w:pict>
      </w:r>
    </w:p>
    <w:p w:rsidR="006856D3" w:rsidRPr="004634E6" w:rsidRDefault="006856D3" w:rsidP="006856D3">
      <w:pPr>
        <w:ind w:firstLine="510"/>
        <w:rPr>
          <w:rFonts w:cs="Tahoma"/>
        </w:rPr>
      </w:pPr>
      <w:r w:rsidRPr="004634E6">
        <w:rPr>
          <w:rFonts w:cs="Tahoma"/>
        </w:rPr>
        <w:t>Regulatory liquidity ratios of the banking system</w:t>
      </w:r>
      <w:r w:rsidRPr="004634E6">
        <w:rPr>
          <w:rStyle w:val="FootnoteReference"/>
          <w:rFonts w:cs="Tahoma"/>
        </w:rPr>
        <w:footnoteReference w:id="29"/>
      </w:r>
      <w:r w:rsidRPr="004634E6">
        <w:rPr>
          <w:rFonts w:cs="Tahoma"/>
        </w:rPr>
        <w:t>, presented as a ratio between assets and liabilities that mature in the next 30 and 180 days registered a steady movement in 2013. In December 2013, the ratios increased, which was due to the start of the implementation of the changes in the methodology for their calculation. Namely, starting from December 2013, in determining the amount of the liabilities used to calculate the liquidity ratios, the percentage of inclusion of time deposits decreased from 80% to 60%, whereby the amount of liabilities that are taken into account in the calculation of liquidity ratios was actually reduced.</w:t>
      </w:r>
    </w:p>
    <w:p w:rsidR="006856D3" w:rsidRPr="004634E6" w:rsidRDefault="006856D3" w:rsidP="006856D3">
      <w:pPr>
        <w:ind w:firstLine="510"/>
        <w:rPr>
          <w:rFonts w:cs="Tahoma"/>
          <w:lang w:val="mk-MK"/>
        </w:rPr>
      </w:pPr>
    </w:p>
    <w:p w:rsidR="0073195E" w:rsidRPr="0073195E" w:rsidRDefault="0073195E" w:rsidP="00376970">
      <w:pPr>
        <w:rPr>
          <w:rFonts w:cs="Tahoma"/>
        </w:rPr>
      </w:pPr>
    </w:p>
    <w:p w:rsidR="006856D3" w:rsidRPr="004634E6" w:rsidRDefault="006856D3" w:rsidP="00C5550A">
      <w:pPr>
        <w:pStyle w:val="Heading3"/>
      </w:pPr>
      <w:bookmarkStart w:id="18" w:name="_Toc393283593"/>
      <w:r w:rsidRPr="004634E6">
        <w:lastRenderedPageBreak/>
        <w:t>Funding sources and maturity (mis)match between assets and liabilities</w:t>
      </w:r>
      <w:bookmarkEnd w:id="18"/>
    </w:p>
    <w:p w:rsidR="006856D3" w:rsidRPr="004634E6" w:rsidRDefault="00803610" w:rsidP="006856D3">
      <w:pPr>
        <w:ind w:firstLine="510"/>
        <w:rPr>
          <w:rFonts w:cs="Tahoma"/>
        </w:rPr>
      </w:pPr>
      <w:r>
        <w:rPr>
          <w:rFonts w:cs="Tahoma"/>
          <w:noProof/>
        </w:rPr>
        <w:pict>
          <v:shape id="_x0000_s1178" type="#_x0000_t202" style="position:absolute;left:0;text-align:left;margin-left:-232.1pt;margin-top:7.6pt;width:221.2pt;height:519pt;z-index:251696128" wrapcoords="-75 0 -75 21550 21600 21550 21600 0 -75 0" stroked="f">
            <v:textbox style="mso-next-textbox:#_x0000_s1178">
              <w:txbxContent>
                <w:p w:rsidR="00280598" w:rsidRDefault="00280598" w:rsidP="006856D3">
                  <w:pPr>
                    <w:pStyle w:val="Caption"/>
                    <w:keepNext/>
                    <w:rPr>
                      <w:lang w:val="en-GB"/>
                    </w:rPr>
                  </w:pPr>
                  <w:r w:rsidRPr="008C713F">
                    <w:t xml:space="preserve">Chart </w:t>
                  </w:r>
                  <w:fldSimple w:instr=" SEQ Графикон_бр. \* ARABIC ">
                    <w:r>
                      <w:rPr>
                        <w:noProof/>
                      </w:rPr>
                      <w:t>35</w:t>
                    </w:r>
                  </w:fldSimple>
                  <w:r w:rsidRPr="008C713F">
                    <w:rPr>
                      <w:lang w:val="mk-MK"/>
                    </w:rPr>
                    <w:t xml:space="preserve"> </w:t>
                  </w:r>
                </w:p>
                <w:p w:rsidR="00280598" w:rsidRPr="006C31E5" w:rsidRDefault="00280598" w:rsidP="006856D3">
                  <w:pPr>
                    <w:pStyle w:val="Caption"/>
                    <w:rPr>
                      <w:b w:val="0"/>
                      <w:lang w:val="mk-MK"/>
                    </w:rPr>
                  </w:pPr>
                  <w:r>
                    <w:t>Structure of cash inflows and outflows of the banking system on annual basis (up) and quarterly basis (down)</w:t>
                  </w:r>
                </w:p>
                <w:p w:rsidR="00280598" w:rsidRPr="00A763E3" w:rsidRDefault="00280598" w:rsidP="006856D3">
                  <w:pPr>
                    <w:rPr>
                      <w:sz w:val="18"/>
                      <w:szCs w:val="18"/>
                      <w:lang w:val="mk-MK"/>
                    </w:rPr>
                  </w:pPr>
                  <w:r w:rsidRPr="00A763E3">
                    <w:rPr>
                      <w:sz w:val="18"/>
                      <w:szCs w:val="18"/>
                    </w:rPr>
                    <w:t>(in p</w:t>
                  </w:r>
                  <w:r>
                    <w:rPr>
                      <w:sz w:val="18"/>
                      <w:szCs w:val="18"/>
                    </w:rPr>
                    <w:t>ercentages</w:t>
                  </w:r>
                  <w:r w:rsidRPr="00A763E3">
                    <w:rPr>
                      <w:sz w:val="18"/>
                      <w:szCs w:val="18"/>
                    </w:rPr>
                    <w:t>)</w:t>
                  </w:r>
                </w:p>
                <w:p w:rsidR="00280598" w:rsidRDefault="00280598" w:rsidP="006856D3">
                  <w:pPr>
                    <w:pStyle w:val="Caption"/>
                  </w:pPr>
                  <w:r w:rsidRPr="00D22F6E">
                    <w:rPr>
                      <w:noProof/>
                      <w:bdr w:val="single" w:sz="4" w:space="0" w:color="auto"/>
                    </w:rPr>
                    <w:drawing>
                      <wp:inline distT="0" distB="0" distL="0" distR="0">
                        <wp:extent cx="2624667" cy="3767667"/>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6360" cy="3770098"/>
                                </a:xfrm>
                                <a:prstGeom prst="rect">
                                  <a:avLst/>
                                </a:prstGeom>
                                <a:noFill/>
                                <a:ln>
                                  <a:noFill/>
                                </a:ln>
                              </pic:spPr>
                            </pic:pic>
                          </a:graphicData>
                        </a:graphic>
                      </wp:inline>
                    </w:drawing>
                  </w:r>
                </w:p>
                <w:p w:rsidR="00280598" w:rsidRDefault="00280598" w:rsidP="006856D3">
                  <w:pPr>
                    <w:rPr>
                      <w:sz w:val="18"/>
                      <w:szCs w:val="18"/>
                    </w:rPr>
                  </w:pPr>
                  <w:r w:rsidRPr="00D621FA">
                    <w:rPr>
                      <w:sz w:val="18"/>
                      <w:szCs w:val="18"/>
                    </w:rPr>
                    <w:t>Source: NBRM, based on data submitted by banks</w:t>
                  </w:r>
                </w:p>
                <w:p w:rsidR="00280598" w:rsidRDefault="00280598" w:rsidP="006856D3">
                  <w:pPr>
                    <w:ind w:right="-42"/>
                    <w:rPr>
                      <w:sz w:val="18"/>
                      <w:szCs w:val="18"/>
                    </w:rPr>
                  </w:pPr>
                  <w:r w:rsidRPr="00663AD6">
                    <w:rPr>
                      <w:sz w:val="18"/>
                      <w:szCs w:val="18"/>
                      <w:lang w:val="mk-MK"/>
                    </w:rPr>
                    <w:t>*</w:t>
                  </w:r>
                  <w:r w:rsidRPr="002F1F1B">
                    <w:rPr>
                      <w:sz w:val="18"/>
                      <w:szCs w:val="18"/>
                    </w:rPr>
                    <w:t xml:space="preserve"> The category </w:t>
                  </w:r>
                  <w:r>
                    <w:rPr>
                      <w:sz w:val="18"/>
                      <w:szCs w:val="18"/>
                    </w:rPr>
                    <w:t xml:space="preserve">of </w:t>
                  </w:r>
                  <w:r w:rsidRPr="002F1F1B">
                    <w:rPr>
                      <w:sz w:val="18"/>
                      <w:szCs w:val="18"/>
                    </w:rPr>
                    <w:t xml:space="preserve">other assets includes assets that are not loans to </w:t>
                  </w:r>
                  <w:r>
                    <w:rPr>
                      <w:sz w:val="18"/>
                      <w:szCs w:val="18"/>
                    </w:rPr>
                    <w:t>non</w:t>
                  </w:r>
                  <w:r w:rsidRPr="002F1F1B">
                    <w:rPr>
                      <w:sz w:val="18"/>
                      <w:szCs w:val="18"/>
                    </w:rPr>
                    <w:t xml:space="preserve">financial </w:t>
                  </w:r>
                  <w:r>
                    <w:rPr>
                      <w:sz w:val="18"/>
                      <w:szCs w:val="18"/>
                    </w:rPr>
                    <w:t>enteti</w:t>
                  </w:r>
                  <w:r w:rsidRPr="002F1F1B">
                    <w:rPr>
                      <w:sz w:val="18"/>
                      <w:szCs w:val="18"/>
                    </w:rPr>
                    <w:t xml:space="preserve">es </w:t>
                  </w:r>
                  <w:r>
                    <w:rPr>
                      <w:sz w:val="18"/>
                      <w:szCs w:val="18"/>
                    </w:rPr>
                    <w:t>and</w:t>
                  </w:r>
                  <w:r w:rsidRPr="002F1F1B">
                    <w:rPr>
                      <w:sz w:val="18"/>
                      <w:szCs w:val="18"/>
                    </w:rPr>
                    <w:t xml:space="preserve"> are not included in the category </w:t>
                  </w:r>
                  <w:r>
                    <w:rPr>
                      <w:sz w:val="18"/>
                      <w:szCs w:val="18"/>
                    </w:rPr>
                    <w:t xml:space="preserve">of </w:t>
                  </w:r>
                  <w:r w:rsidRPr="002F1F1B">
                    <w:rPr>
                      <w:sz w:val="18"/>
                      <w:szCs w:val="18"/>
                    </w:rPr>
                    <w:t>liquid assets (long-term loans in foreign and domestic banks, foreign exchange reserve</w:t>
                  </w:r>
                  <w:r>
                    <w:rPr>
                      <w:sz w:val="18"/>
                      <w:szCs w:val="18"/>
                    </w:rPr>
                    <w:t xml:space="preserve"> requirement</w:t>
                  </w:r>
                  <w:r w:rsidRPr="002F1F1B">
                    <w:rPr>
                      <w:sz w:val="18"/>
                      <w:szCs w:val="18"/>
                    </w:rPr>
                    <w:t>, foreclosures, fixed assets, etc.)</w:t>
                  </w:r>
                  <w:r>
                    <w:rPr>
                      <w:sz w:val="18"/>
                      <w:szCs w:val="18"/>
                    </w:rPr>
                    <w:t xml:space="preserve"> as well as the decrease of impairment of financial and nonfinancial assets</w:t>
                  </w:r>
                  <w:r w:rsidRPr="002F1F1B">
                    <w:rPr>
                      <w:sz w:val="18"/>
                      <w:szCs w:val="18"/>
                    </w:rPr>
                    <w:t>.</w:t>
                  </w:r>
                </w:p>
                <w:p w:rsidR="00280598" w:rsidRDefault="00280598" w:rsidP="006856D3">
                  <w:pPr>
                    <w:ind w:right="-42"/>
                    <w:rPr>
                      <w:sz w:val="18"/>
                      <w:szCs w:val="18"/>
                      <w:lang w:val="mk-MK"/>
                    </w:rPr>
                  </w:pPr>
                  <w:r w:rsidRPr="002F1F1B">
                    <w:rPr>
                      <w:sz w:val="18"/>
                      <w:szCs w:val="18"/>
                    </w:rPr>
                    <w:t xml:space="preserve">** The category </w:t>
                  </w:r>
                  <w:r>
                    <w:rPr>
                      <w:sz w:val="18"/>
                      <w:szCs w:val="18"/>
                    </w:rPr>
                    <w:t xml:space="preserve">of </w:t>
                  </w:r>
                  <w:r w:rsidRPr="002F1F1B">
                    <w:rPr>
                      <w:sz w:val="18"/>
                      <w:szCs w:val="18"/>
                    </w:rPr>
                    <w:t xml:space="preserve">other </w:t>
                  </w:r>
                  <w:r>
                    <w:rPr>
                      <w:sz w:val="18"/>
                      <w:szCs w:val="18"/>
                    </w:rPr>
                    <w:t>source</w:t>
                  </w:r>
                  <w:r w:rsidRPr="002F1F1B">
                    <w:rPr>
                      <w:sz w:val="18"/>
                      <w:szCs w:val="18"/>
                    </w:rPr>
                    <w:t xml:space="preserve">s </w:t>
                  </w:r>
                  <w:r>
                    <w:rPr>
                      <w:sz w:val="18"/>
                      <w:szCs w:val="18"/>
                    </w:rPr>
                    <w:t xml:space="preserve">of funds </w:t>
                  </w:r>
                  <w:r w:rsidRPr="002F1F1B">
                    <w:rPr>
                      <w:sz w:val="18"/>
                      <w:szCs w:val="18"/>
                    </w:rPr>
                    <w:t>includes all sources of fund</w:t>
                  </w:r>
                  <w:r>
                    <w:rPr>
                      <w:sz w:val="18"/>
                      <w:szCs w:val="18"/>
                    </w:rPr>
                    <w:t>ing</w:t>
                  </w:r>
                  <w:r w:rsidRPr="002F1F1B">
                    <w:rPr>
                      <w:sz w:val="18"/>
                      <w:szCs w:val="18"/>
                    </w:rPr>
                    <w:t xml:space="preserve"> </w:t>
                  </w:r>
                  <w:r>
                    <w:rPr>
                      <w:sz w:val="18"/>
                      <w:szCs w:val="18"/>
                    </w:rPr>
                    <w:t xml:space="preserve">which </w:t>
                  </w:r>
                  <w:r w:rsidRPr="002F1F1B">
                    <w:rPr>
                      <w:sz w:val="18"/>
                      <w:szCs w:val="18"/>
                    </w:rPr>
                    <w:t>are</w:t>
                  </w:r>
                  <w:r>
                    <w:rPr>
                      <w:sz w:val="18"/>
                      <w:szCs w:val="18"/>
                    </w:rPr>
                    <w:t xml:space="preserve"> not</w:t>
                  </w:r>
                  <w:r w:rsidRPr="002F1F1B">
                    <w:rPr>
                      <w:sz w:val="18"/>
                      <w:szCs w:val="18"/>
                    </w:rPr>
                    <w:t xml:space="preserve"> deposits of nonfinancial </w:t>
                  </w:r>
                  <w:r>
                    <w:rPr>
                      <w:sz w:val="18"/>
                      <w:szCs w:val="18"/>
                    </w:rPr>
                    <w:t>enteties</w:t>
                  </w:r>
                  <w:r w:rsidRPr="002F1F1B">
                    <w:rPr>
                      <w:sz w:val="18"/>
                      <w:szCs w:val="18"/>
                    </w:rPr>
                    <w:t xml:space="preserve"> (equity and reserves, deposits of financial institutions, loans, subordinated instruments etc.)</w:t>
                  </w:r>
                  <w:r>
                    <w:rPr>
                      <w:sz w:val="18"/>
                      <w:szCs w:val="18"/>
                    </w:rPr>
                    <w:t xml:space="preserve"> and the increase of impairment of financial and nonfinancial assets</w:t>
                  </w:r>
                  <w:r w:rsidRPr="002F1F1B">
                    <w:rPr>
                      <w:sz w:val="18"/>
                      <w:szCs w:val="18"/>
                    </w:rPr>
                    <w:t>.</w:t>
                  </w:r>
                </w:p>
                <w:p w:rsidR="00280598" w:rsidRPr="00D621FA" w:rsidRDefault="00280598" w:rsidP="006856D3">
                  <w:pPr>
                    <w:rPr>
                      <w:sz w:val="18"/>
                      <w:szCs w:val="18"/>
                    </w:rPr>
                  </w:pPr>
                </w:p>
              </w:txbxContent>
            </v:textbox>
          </v:shape>
        </w:pict>
      </w:r>
    </w:p>
    <w:p w:rsidR="006856D3" w:rsidRPr="004634E6" w:rsidRDefault="006856D3" w:rsidP="006856D3">
      <w:pPr>
        <w:ind w:firstLine="540"/>
        <w:rPr>
          <w:rFonts w:cs="Tahoma"/>
        </w:rPr>
      </w:pPr>
      <w:r w:rsidRPr="004634E6">
        <w:rPr>
          <w:rFonts w:cs="Tahoma"/>
        </w:rPr>
        <w:t>Unlike past few years, when the structure of banks' cash inflows and outflows was more diverse, in 2013, there was a high concentration of banks' cash flows</w:t>
      </w:r>
      <w:r w:rsidRPr="004634E6">
        <w:rPr>
          <w:rStyle w:val="FootnoteReference"/>
          <w:rFonts w:cs="Tahoma"/>
        </w:rPr>
        <w:footnoteReference w:id="30"/>
      </w:r>
      <w:r w:rsidRPr="004634E6">
        <w:rPr>
          <w:rFonts w:cs="Tahoma"/>
        </w:rPr>
        <w:t>. Thus, prevailing inflows among the inflows of new funding sources are those based on deposits, while cash outflows were almost entirely determined by lending. The intensification of the credit activity was particularly evident in the last quarter of 2013, when outflows based on loans were predominant in the structure of the cash outflows with a share of 85.0%, while liquid assets reduced, which is a clear sign of decreased credit risk aversion of banks.</w:t>
      </w:r>
    </w:p>
    <w:p w:rsidR="006856D3" w:rsidRPr="004634E6" w:rsidRDefault="006856D3" w:rsidP="006856D3">
      <w:pPr>
        <w:ind w:firstLine="540"/>
        <w:rPr>
          <w:rFonts w:cs="Tahoma"/>
        </w:rPr>
      </w:pPr>
    </w:p>
    <w:p w:rsidR="006856D3" w:rsidRPr="004634E6" w:rsidRDefault="006856D3" w:rsidP="006856D3">
      <w:pPr>
        <w:ind w:firstLine="540"/>
        <w:rPr>
          <w:rFonts w:cs="Tahoma"/>
        </w:rPr>
      </w:pPr>
      <w:r w:rsidRPr="004634E6">
        <w:rPr>
          <w:rFonts w:cs="Tahoma"/>
        </w:rPr>
        <w:t xml:space="preserve">The growth of total sources of funding for banks in 2013 was driven by the growth of the deposits of non-financial entities, which generated </w:t>
      </w:r>
      <w:r w:rsidRPr="004634E6">
        <w:rPr>
          <w:rFonts w:ascii="Cambria Math" w:hAnsi="Cambria Math" w:cs="Cambria Math"/>
        </w:rPr>
        <w:t>​​</w:t>
      </w:r>
      <w:r w:rsidRPr="004634E6">
        <w:rPr>
          <w:rFonts w:cs="Tahoma"/>
        </w:rPr>
        <w:t xml:space="preserve">about two-thirds of the growth of the sources of funding for banks in 2013. The maturity structure of the total sources of funding for banks registered an increased share of the long-term component. The long-term component in all individual financial instruments used to finance the activities of the banks had a predominant share in the annual growth. Approximately 88% of the total growth of the banks' funding sources in 2013 stemmed from the growth of the long-term component, with about 62% of this growth being due to the deposits of non-financial entities, and the rest is due to loans and deposits of financial institutions. Regarding the deposits of non-financial entities, 91.0% of the annual increase was due to the growth in long-term deposits, primarily due to the propensity of households to save in the long run. In 2013, short-term sources of funding decreased by 0.6%, resulting from the decline of short-term </w:t>
      </w:r>
      <w:r w:rsidRPr="004634E6">
        <w:rPr>
          <w:rFonts w:cs="Tahoma"/>
        </w:rPr>
        <w:lastRenderedPageBreak/>
        <w:t>loans from financial institutions, including short-term liabilities to parent entities.</w:t>
      </w:r>
    </w:p>
    <w:p w:rsidR="006856D3" w:rsidRPr="004634E6" w:rsidRDefault="00803610" w:rsidP="006856D3">
      <w:pPr>
        <w:ind w:firstLine="540"/>
        <w:rPr>
          <w:rFonts w:cs="Tahoma"/>
        </w:rPr>
      </w:pPr>
      <w:r>
        <w:rPr>
          <w:rFonts w:cs="Tahoma"/>
          <w:noProof/>
        </w:rPr>
        <w:pict>
          <v:shape id="_x0000_s1179" type="#_x0000_t202" style="position:absolute;left:0;text-align:left;margin-left:-231.4pt;margin-top:6.6pt;width:221.2pt;height:215.25pt;z-index:251697152" wrapcoords="-75 0 -75 21550 21600 21550 21600 0 -75 0" stroked="f">
            <v:textbox style="mso-next-textbox:#_x0000_s1179">
              <w:txbxContent>
                <w:p w:rsidR="00280598" w:rsidRPr="008C713F" w:rsidRDefault="00280598" w:rsidP="006856D3">
                  <w:pPr>
                    <w:pStyle w:val="Caption"/>
                    <w:keepNext/>
                    <w:rPr>
                      <w:lang w:val="en-GB"/>
                    </w:rPr>
                  </w:pPr>
                  <w:r w:rsidRPr="008C713F">
                    <w:t xml:space="preserve">Chart </w:t>
                  </w:r>
                  <w:fldSimple w:instr=" SEQ Графикон_бр. \* ARABIC ">
                    <w:r>
                      <w:rPr>
                        <w:noProof/>
                      </w:rPr>
                      <w:t>36</w:t>
                    </w:r>
                  </w:fldSimple>
                  <w:r w:rsidRPr="008C713F">
                    <w:rPr>
                      <w:lang w:val="mk-MK"/>
                    </w:rPr>
                    <w:t xml:space="preserve"> </w:t>
                  </w:r>
                </w:p>
                <w:p w:rsidR="00280598" w:rsidRPr="00143F4F" w:rsidRDefault="00280598" w:rsidP="006856D3">
                  <w:pPr>
                    <w:pStyle w:val="Caption"/>
                    <w:rPr>
                      <w:b w:val="0"/>
                      <w:lang w:val="mk-MK"/>
                    </w:rPr>
                  </w:pPr>
                  <w:r>
                    <w:t>Change of used sources of funding from parent entities</w:t>
                  </w:r>
                </w:p>
                <w:p w:rsidR="00280598" w:rsidRPr="00A763E3" w:rsidRDefault="00280598" w:rsidP="006856D3">
                  <w:pPr>
                    <w:rPr>
                      <w:sz w:val="18"/>
                      <w:szCs w:val="18"/>
                      <w:lang w:val="mk-MK"/>
                    </w:rPr>
                  </w:pPr>
                  <w:r w:rsidRPr="00A763E3">
                    <w:rPr>
                      <w:sz w:val="18"/>
                      <w:szCs w:val="18"/>
                    </w:rPr>
                    <w:t>(in percentages)</w:t>
                  </w:r>
                </w:p>
                <w:p w:rsidR="00280598" w:rsidRDefault="00280598" w:rsidP="006856D3">
                  <w:pPr>
                    <w:pStyle w:val="Caption"/>
                  </w:pPr>
                  <w:r w:rsidRPr="0049773E">
                    <w:rPr>
                      <w:noProof/>
                    </w:rPr>
                    <w:drawing>
                      <wp:inline distT="0" distB="0" distL="0" distR="0">
                        <wp:extent cx="2622013" cy="1857375"/>
                        <wp:effectExtent l="19050" t="0" r="6887"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6360" cy="1860454"/>
                                </a:xfrm>
                                <a:prstGeom prst="rect">
                                  <a:avLst/>
                                </a:prstGeom>
                                <a:noFill/>
                                <a:ln>
                                  <a:noFill/>
                                </a:ln>
                              </pic:spPr>
                            </pic:pic>
                          </a:graphicData>
                        </a:graphic>
                      </wp:inline>
                    </w:drawing>
                  </w:r>
                </w:p>
                <w:p w:rsidR="00280598" w:rsidRPr="00D621FA" w:rsidRDefault="00280598" w:rsidP="006856D3">
                  <w:pPr>
                    <w:rPr>
                      <w:sz w:val="18"/>
                      <w:szCs w:val="18"/>
                    </w:rPr>
                  </w:pPr>
                  <w:r w:rsidRPr="00D621FA">
                    <w:rPr>
                      <w:sz w:val="18"/>
                      <w:szCs w:val="18"/>
                    </w:rPr>
                    <w:t>Source: NBRM, based on data submitted by banks</w:t>
                  </w:r>
                </w:p>
              </w:txbxContent>
            </v:textbox>
          </v:shape>
        </w:pict>
      </w:r>
    </w:p>
    <w:p w:rsidR="006856D3" w:rsidRPr="004634E6" w:rsidRDefault="00803610" w:rsidP="006856D3">
      <w:pPr>
        <w:ind w:firstLine="540"/>
        <w:rPr>
          <w:rFonts w:cs="Tahoma"/>
        </w:rPr>
      </w:pPr>
      <w:r>
        <w:rPr>
          <w:rFonts w:cs="Tahoma"/>
          <w:noProof/>
        </w:rPr>
        <w:pict>
          <v:shape id="_x0000_s1180" type="#_x0000_t202" style="position:absolute;left:0;text-align:left;margin-left:-227.95pt;margin-top:222.1pt;width:217.75pt;height:380.25pt;z-index:251698176" stroked="f">
            <v:textbox>
              <w:txbxContent>
                <w:p w:rsidR="00280598" w:rsidRPr="00791A55" w:rsidRDefault="00280598" w:rsidP="006856D3">
                  <w:pPr>
                    <w:pStyle w:val="Caption"/>
                    <w:rPr>
                      <w:b w:val="0"/>
                      <w:lang w:val="mk-MK"/>
                    </w:rPr>
                  </w:pPr>
                  <w:r>
                    <w:t xml:space="preserve">Chart </w:t>
                  </w:r>
                  <w:fldSimple w:instr=" SEQ Графикон_бр. \* ARABIC ">
                    <w:r>
                      <w:rPr>
                        <w:noProof/>
                      </w:rPr>
                      <w:t>37</w:t>
                    </w:r>
                  </w:fldSimple>
                  <w:r w:rsidRPr="00791A55">
                    <w:rPr>
                      <w:lang w:val="mk-MK"/>
                    </w:rPr>
                    <w:t xml:space="preserve"> </w:t>
                  </w:r>
                </w:p>
                <w:p w:rsidR="00280598" w:rsidRPr="00791A55" w:rsidRDefault="00280598" w:rsidP="006856D3">
                  <w:pPr>
                    <w:pStyle w:val="Caption"/>
                    <w:rPr>
                      <w:b w:val="0"/>
                      <w:lang w:val="mk-MK"/>
                    </w:rPr>
                  </w:pPr>
                  <w:r>
                    <w:t>Banks' assets and liabilities by contractual residual maturity - absolute terms (up) and structure (down)</w:t>
                  </w:r>
                </w:p>
                <w:p w:rsidR="00280598" w:rsidRPr="00791A55" w:rsidRDefault="00280598" w:rsidP="006856D3">
                  <w:pPr>
                    <w:rPr>
                      <w:sz w:val="18"/>
                      <w:szCs w:val="18"/>
                      <w:lang w:val="mk-MK"/>
                    </w:rPr>
                  </w:pPr>
                  <w:r>
                    <w:rPr>
                      <w:sz w:val="18"/>
                      <w:szCs w:val="18"/>
                    </w:rPr>
                    <w:t>in millions of denars and in %</w:t>
                  </w:r>
                </w:p>
                <w:p w:rsidR="00280598" w:rsidRDefault="00280598" w:rsidP="006856D3">
                  <w:pPr>
                    <w:pStyle w:val="Caption"/>
                    <w:rPr>
                      <w:lang w:val="mk-MK"/>
                    </w:rPr>
                  </w:pPr>
                  <w:r w:rsidRPr="0049773E">
                    <w:rPr>
                      <w:noProof/>
                      <w:bdr w:val="single" w:sz="4" w:space="0" w:color="auto"/>
                    </w:rPr>
                    <w:drawing>
                      <wp:inline distT="0" distB="0" distL="0" distR="0">
                        <wp:extent cx="2581275" cy="3790950"/>
                        <wp:effectExtent l="19050" t="0" r="9525"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2746" cy="3793110"/>
                                </a:xfrm>
                                <a:prstGeom prst="rect">
                                  <a:avLst/>
                                </a:prstGeom>
                                <a:noFill/>
                                <a:ln>
                                  <a:noFill/>
                                </a:ln>
                              </pic:spPr>
                            </pic:pic>
                          </a:graphicData>
                        </a:graphic>
                      </wp:inline>
                    </w:drawing>
                  </w:r>
                </w:p>
                <w:p w:rsidR="00280598" w:rsidRPr="005A6118" w:rsidRDefault="00280598" w:rsidP="006856D3">
                  <w:pPr>
                    <w:rPr>
                      <w:sz w:val="18"/>
                      <w:szCs w:val="18"/>
                      <w:lang w:val="mk-MK"/>
                    </w:rPr>
                  </w:pPr>
                  <w:r>
                    <w:rPr>
                      <w:sz w:val="18"/>
                      <w:szCs w:val="18"/>
                      <w:lang w:val="mk-MK"/>
                    </w:rPr>
                    <w:t>Source: NBRM, based on data submitted by banks</w:t>
                  </w:r>
                  <w:r w:rsidRPr="005A6118">
                    <w:rPr>
                      <w:sz w:val="18"/>
                      <w:szCs w:val="18"/>
                      <w:lang w:val="mk-MK"/>
                    </w:rPr>
                    <w:t>.</w:t>
                  </w:r>
                </w:p>
                <w:p w:rsidR="00280598" w:rsidRPr="00E035B8" w:rsidRDefault="00280598" w:rsidP="006856D3">
                  <w:pPr>
                    <w:rPr>
                      <w:lang w:val="mk-MK"/>
                    </w:rPr>
                  </w:pPr>
                </w:p>
              </w:txbxContent>
            </v:textbox>
          </v:shape>
        </w:pict>
      </w:r>
      <w:r w:rsidR="006856D3" w:rsidRPr="004634E6">
        <w:rPr>
          <w:rFonts w:cs="Tahoma"/>
        </w:rPr>
        <w:t>At the end of 2013, the sources of funding for the banks in the Republic of Macedonia originating from their parent entities amounted to Denar 15,009 million, representing 4.6% of banks' total liabilities i.e. 4.1% of the total assets. On annual basis, the sources used from the parent entities decreased by Denar 1,735 million, or by 10.4%. The decline in these sources of funding was registered in the second half of 2013, when they dropped by Denar 3,328 million, mainly due to the lower short-term sources of funding. This means that in 2013, domestic banks were involved in activities of deleveraging toward their parent entities or their partial maturity transformation from short-term to long-term sources of funding. At the end of 2013, the share of the funding from parent entities from the European Union in the structure of the funding sources of banks from parent entities was 89.1% (87.9% as of December 31, 2012), while the share of the funding sources from parent entities with their headquarters based in the Euro area accounted for 75.1% (78.6% as of December 31, 2012).</w:t>
      </w:r>
    </w:p>
    <w:p w:rsidR="006856D3" w:rsidRPr="004634E6" w:rsidRDefault="006856D3" w:rsidP="006856D3">
      <w:pPr>
        <w:ind w:firstLine="540"/>
        <w:rPr>
          <w:rFonts w:cs="Tahoma"/>
        </w:rPr>
      </w:pPr>
    </w:p>
    <w:p w:rsidR="006856D3" w:rsidRPr="004634E6" w:rsidRDefault="006856D3" w:rsidP="006856D3">
      <w:pPr>
        <w:ind w:firstLine="540"/>
        <w:rPr>
          <w:rFonts w:cs="Tahoma"/>
        </w:rPr>
      </w:pPr>
      <w:r w:rsidRPr="004634E6">
        <w:rPr>
          <w:rFonts w:cs="Tahoma"/>
        </w:rPr>
        <w:t xml:space="preserve">The changes in the maturity structure of the banks' sources of funding, in particular the increase in the long-term component, was the generator of the positive movements in the structure of banks' liabilities by the contractual residual maturity during 2013. The fastest growth in 2013 was registered in the liabilities with residual maturity of over one year, whose share in the structure of liabilities by the contractual residual maturity was 22.4% at the end of 2013. The major changes in the residual maturity of assets were a result of the decline in the liquid assets and changes in the maturity profile of the securities due to rising investments in government bonds. Hence, at the end of 2013, the assets with residual maturity of up to one month, and from one to three months declined, while the assets in the maturity segment of three months to one year surged. Thus, the largest rise of the share in the structure of assets according </w:t>
      </w:r>
      <w:r w:rsidRPr="004634E6">
        <w:rPr>
          <w:rFonts w:cs="Tahoma"/>
        </w:rPr>
        <w:lastRenderedPageBreak/>
        <w:t>to residual maturity was recorded in the assets with residual maturity of three months to one year.</w:t>
      </w:r>
    </w:p>
    <w:p w:rsidR="006856D3" w:rsidRPr="004634E6" w:rsidRDefault="00803610" w:rsidP="006856D3">
      <w:pPr>
        <w:ind w:firstLine="540"/>
        <w:rPr>
          <w:rFonts w:cs="Tahoma"/>
        </w:rPr>
      </w:pPr>
      <w:r>
        <w:rPr>
          <w:rFonts w:cs="Tahoma"/>
          <w:noProof/>
        </w:rPr>
        <w:pict>
          <v:shape id="_x0000_s1181" type="#_x0000_t202" style="position:absolute;left:0;text-align:left;margin-left:-226.45pt;margin-top:-38.15pt;width:217.75pt;height:234pt;z-index:251699200" stroked="f">
            <v:textbox>
              <w:txbxContent>
                <w:p w:rsidR="00280598" w:rsidRPr="00791A55" w:rsidRDefault="00280598" w:rsidP="006856D3">
                  <w:pPr>
                    <w:pStyle w:val="Caption"/>
                    <w:rPr>
                      <w:b w:val="0"/>
                      <w:lang w:val="mk-MK"/>
                    </w:rPr>
                  </w:pPr>
                  <w:r>
                    <w:t xml:space="preserve">Chart </w:t>
                  </w:r>
                  <w:fldSimple w:instr=" SEQ Графикон_бр. \* ARABIC ">
                    <w:r>
                      <w:rPr>
                        <w:noProof/>
                      </w:rPr>
                      <w:t>38</w:t>
                    </w:r>
                  </w:fldSimple>
                  <w:r w:rsidRPr="00791A55">
                    <w:rPr>
                      <w:lang w:val="mk-MK"/>
                    </w:rPr>
                    <w:t xml:space="preserve"> </w:t>
                  </w:r>
                </w:p>
                <w:p w:rsidR="00280598" w:rsidRDefault="00280598" w:rsidP="006856D3">
                  <w:pPr>
                    <w:pStyle w:val="Caption"/>
                    <w:rPr>
                      <w:b w:val="0"/>
                      <w:lang w:val="mk-MK"/>
                    </w:rPr>
                  </w:pPr>
                  <w:r>
                    <w:t>Contractual residual maturity (mis)match between assets and liabilities, by maturity segments</w:t>
                  </w:r>
                </w:p>
                <w:p w:rsidR="00280598" w:rsidRPr="00791A55" w:rsidRDefault="00280598" w:rsidP="006856D3">
                  <w:pPr>
                    <w:rPr>
                      <w:sz w:val="18"/>
                      <w:szCs w:val="18"/>
                      <w:lang w:val="mk-MK"/>
                    </w:rPr>
                  </w:pPr>
                  <w:r>
                    <w:rPr>
                      <w:sz w:val="18"/>
                      <w:szCs w:val="18"/>
                    </w:rPr>
                    <w:t xml:space="preserve">in millions of denars </w:t>
                  </w:r>
                </w:p>
                <w:p w:rsidR="00280598" w:rsidRDefault="00280598" w:rsidP="006856D3">
                  <w:pPr>
                    <w:pStyle w:val="Caption"/>
                    <w:rPr>
                      <w:lang w:val="mk-MK"/>
                    </w:rPr>
                  </w:pPr>
                  <w:r w:rsidRPr="00792D06">
                    <w:rPr>
                      <w:noProof/>
                    </w:rPr>
                    <w:drawing>
                      <wp:inline distT="0" distB="0" distL="0" distR="0">
                        <wp:extent cx="2582333" cy="19050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2545" cy="1905156"/>
                                </a:xfrm>
                                <a:prstGeom prst="rect">
                                  <a:avLst/>
                                </a:prstGeom>
                                <a:noFill/>
                                <a:ln>
                                  <a:noFill/>
                                </a:ln>
                              </pic:spPr>
                            </pic:pic>
                          </a:graphicData>
                        </a:graphic>
                      </wp:inline>
                    </w:drawing>
                  </w:r>
                </w:p>
                <w:p w:rsidR="00280598" w:rsidRPr="005A6118" w:rsidRDefault="00280598" w:rsidP="006856D3">
                  <w:pPr>
                    <w:rPr>
                      <w:sz w:val="18"/>
                      <w:szCs w:val="18"/>
                      <w:lang w:val="mk-MK"/>
                    </w:rPr>
                  </w:pPr>
                  <w:r>
                    <w:rPr>
                      <w:sz w:val="18"/>
                      <w:szCs w:val="18"/>
                      <w:lang w:val="mk-MK"/>
                    </w:rPr>
                    <w:t>Source: NBRM, based on data submitted by banks</w:t>
                  </w:r>
                  <w:r w:rsidRPr="005A6118">
                    <w:rPr>
                      <w:sz w:val="18"/>
                      <w:szCs w:val="18"/>
                      <w:lang w:val="mk-MK"/>
                    </w:rPr>
                    <w:t>.</w:t>
                  </w:r>
                </w:p>
                <w:p w:rsidR="00280598" w:rsidRPr="00E035B8" w:rsidRDefault="00280598" w:rsidP="006856D3">
                  <w:pPr>
                    <w:rPr>
                      <w:lang w:val="mk-MK"/>
                    </w:rPr>
                  </w:pPr>
                </w:p>
              </w:txbxContent>
            </v:textbox>
          </v:shape>
        </w:pict>
      </w:r>
    </w:p>
    <w:p w:rsidR="006856D3" w:rsidRPr="004634E6" w:rsidRDefault="00803610" w:rsidP="006856D3">
      <w:pPr>
        <w:ind w:firstLine="540"/>
        <w:rPr>
          <w:rFonts w:cs="Tahoma"/>
        </w:rPr>
      </w:pPr>
      <w:r>
        <w:rPr>
          <w:rFonts w:cs="Tahoma"/>
          <w:noProof/>
        </w:rPr>
        <w:pict>
          <v:shape id="_x0000_s1182" type="#_x0000_t202" style="position:absolute;left:0;text-align:left;margin-left:-230.6pt;margin-top:182.55pt;width:217.75pt;height:228.75pt;z-index:251700224" stroked="f">
            <v:textbox>
              <w:txbxContent>
                <w:p w:rsidR="00280598" w:rsidRDefault="00280598" w:rsidP="006856D3">
                  <w:pPr>
                    <w:pStyle w:val="Caption"/>
                    <w:rPr>
                      <w:lang w:val="en-GB"/>
                    </w:rPr>
                  </w:pPr>
                  <w:r>
                    <w:t xml:space="preserve">Chart </w:t>
                  </w:r>
                  <w:fldSimple w:instr=" SEQ Графикон_бр. \* ARABIC ">
                    <w:r>
                      <w:rPr>
                        <w:noProof/>
                      </w:rPr>
                      <w:t>39</w:t>
                    </w:r>
                  </w:fldSimple>
                  <w:r w:rsidRPr="00791A55">
                    <w:rPr>
                      <w:lang w:val="mk-MK"/>
                    </w:rPr>
                    <w:t xml:space="preserve"> </w:t>
                  </w:r>
                </w:p>
                <w:p w:rsidR="00280598" w:rsidRPr="00B62897" w:rsidRDefault="00280598" w:rsidP="006856D3">
                  <w:pPr>
                    <w:pStyle w:val="Caption"/>
                    <w:rPr>
                      <w:b w:val="0"/>
                    </w:rPr>
                  </w:pPr>
                  <w:r>
                    <w:t xml:space="preserve">Cumulative difference between banks' assets and liabilities according to the contractual residual maturity </w:t>
                  </w:r>
                </w:p>
                <w:p w:rsidR="00280598" w:rsidRPr="00791A55" w:rsidRDefault="00280598" w:rsidP="006856D3">
                  <w:pPr>
                    <w:rPr>
                      <w:sz w:val="18"/>
                      <w:szCs w:val="18"/>
                      <w:lang w:val="mk-MK"/>
                    </w:rPr>
                  </w:pPr>
                  <w:r>
                    <w:rPr>
                      <w:sz w:val="18"/>
                      <w:szCs w:val="18"/>
                    </w:rPr>
                    <w:t>(as percentage of cumulative assets with the same contractual residual maturity)</w:t>
                  </w:r>
                </w:p>
                <w:p w:rsidR="00280598" w:rsidRDefault="00280598" w:rsidP="006856D3">
                  <w:pPr>
                    <w:pStyle w:val="Caption"/>
                    <w:rPr>
                      <w:lang w:val="mk-MK"/>
                    </w:rPr>
                  </w:pPr>
                  <w:r w:rsidRPr="005259E1">
                    <w:rPr>
                      <w:noProof/>
                    </w:rPr>
                    <w:drawing>
                      <wp:inline distT="0" distB="0" distL="0" distR="0">
                        <wp:extent cx="2582334" cy="1769533"/>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2545" cy="1769678"/>
                                </a:xfrm>
                                <a:prstGeom prst="rect">
                                  <a:avLst/>
                                </a:prstGeom>
                                <a:noFill/>
                                <a:ln>
                                  <a:noFill/>
                                </a:ln>
                              </pic:spPr>
                            </pic:pic>
                          </a:graphicData>
                        </a:graphic>
                      </wp:inline>
                    </w:drawing>
                  </w:r>
                </w:p>
                <w:p w:rsidR="00280598" w:rsidRPr="005A6118" w:rsidRDefault="00280598" w:rsidP="006856D3">
                  <w:pPr>
                    <w:rPr>
                      <w:sz w:val="18"/>
                      <w:szCs w:val="18"/>
                      <w:lang w:val="mk-MK"/>
                    </w:rPr>
                  </w:pPr>
                  <w:r>
                    <w:rPr>
                      <w:sz w:val="18"/>
                      <w:szCs w:val="18"/>
                      <w:lang w:val="mk-MK"/>
                    </w:rPr>
                    <w:t>Source: NBRM, based on data submitted by banks</w:t>
                  </w:r>
                  <w:r w:rsidRPr="005A6118">
                    <w:rPr>
                      <w:sz w:val="18"/>
                      <w:szCs w:val="18"/>
                      <w:lang w:val="mk-MK"/>
                    </w:rPr>
                    <w:t>.</w:t>
                  </w:r>
                </w:p>
                <w:p w:rsidR="00280598" w:rsidRPr="00E035B8" w:rsidRDefault="00280598" w:rsidP="006856D3">
                  <w:pPr>
                    <w:rPr>
                      <w:lang w:val="mk-MK"/>
                    </w:rPr>
                  </w:pPr>
                </w:p>
              </w:txbxContent>
            </v:textbox>
          </v:shape>
        </w:pict>
      </w:r>
      <w:r w:rsidR="006856D3" w:rsidRPr="004634E6">
        <w:rPr>
          <w:rFonts w:cs="Tahoma"/>
        </w:rPr>
        <w:t>At the end of 2013, positive difference between the contractual residual maturity of assets and liabilities of banks was registered in two maturity segments (Annex 29). Larger positive difference was registered in the maturity segment of 8 to 30 days, which mainly includes the most liquid financial instruments, and relatively few liabilities, while a moderate positive difference was registered in the maturity segment of three to six months, primarily due to the investments in government bonds during 2013. On annual basis, the negative maturity mismatch between assets and liabilities increased the most in the maturity segment with residual maturity of up to 7 days, due to the lack of more significant annual growth of liquid assets and inclusion of sight liabilities in this maturity segment.</w:t>
      </w:r>
    </w:p>
    <w:p w:rsidR="006856D3" w:rsidRPr="004634E6" w:rsidRDefault="006856D3" w:rsidP="00376970">
      <w:pPr>
        <w:rPr>
          <w:rFonts w:cs="Tahoma"/>
        </w:rPr>
      </w:pPr>
    </w:p>
    <w:p w:rsidR="006856D3" w:rsidRPr="004634E6" w:rsidRDefault="006856D3" w:rsidP="006856D3">
      <w:pPr>
        <w:ind w:firstLine="540"/>
        <w:rPr>
          <w:rFonts w:cs="Tahoma"/>
        </w:rPr>
      </w:pPr>
      <w:r w:rsidRPr="004634E6">
        <w:rPr>
          <w:rFonts w:cs="Tahoma"/>
        </w:rPr>
        <w:t>The cumulative negative gap between assets and liabilities of banks according to their contractual residual maturity, expressed as a percentage of assets, oscillated during 2013 depending on the currency of the assets and the maturity segment, and at the end of the year it deepened.</w:t>
      </w:r>
    </w:p>
    <w:p w:rsidR="00376970" w:rsidRDefault="00376970" w:rsidP="006856D3">
      <w:pPr>
        <w:ind w:firstLine="510"/>
        <w:rPr>
          <w:rFonts w:cs="Tahoma"/>
        </w:rPr>
      </w:pPr>
    </w:p>
    <w:p w:rsidR="00376970" w:rsidRDefault="00376970" w:rsidP="006856D3">
      <w:pPr>
        <w:ind w:firstLine="510"/>
        <w:rPr>
          <w:rFonts w:cs="Tahoma"/>
        </w:rPr>
      </w:pPr>
    </w:p>
    <w:p w:rsidR="00376970" w:rsidRDefault="00376970" w:rsidP="006856D3">
      <w:pPr>
        <w:ind w:firstLine="510"/>
        <w:rPr>
          <w:rFonts w:cs="Tahoma"/>
        </w:rPr>
      </w:pPr>
    </w:p>
    <w:p w:rsidR="00376970" w:rsidRDefault="00376970" w:rsidP="006856D3">
      <w:pPr>
        <w:ind w:firstLine="510"/>
        <w:rPr>
          <w:rFonts w:cs="Tahoma"/>
        </w:rPr>
      </w:pPr>
    </w:p>
    <w:p w:rsidR="00376970" w:rsidRDefault="00376970" w:rsidP="006856D3">
      <w:pPr>
        <w:ind w:firstLine="510"/>
        <w:rPr>
          <w:rFonts w:cs="Tahoma"/>
        </w:rPr>
      </w:pPr>
    </w:p>
    <w:p w:rsidR="00376970" w:rsidRDefault="00376970" w:rsidP="006856D3">
      <w:pPr>
        <w:ind w:firstLine="510"/>
        <w:rPr>
          <w:rFonts w:cs="Tahoma"/>
        </w:rPr>
      </w:pPr>
    </w:p>
    <w:p w:rsidR="00376970" w:rsidRDefault="00376970" w:rsidP="006856D3">
      <w:pPr>
        <w:ind w:firstLine="510"/>
        <w:rPr>
          <w:rFonts w:cs="Tahoma"/>
        </w:rPr>
      </w:pPr>
    </w:p>
    <w:p w:rsidR="00376970" w:rsidRDefault="00376970" w:rsidP="006856D3">
      <w:pPr>
        <w:ind w:firstLine="510"/>
        <w:rPr>
          <w:rFonts w:cs="Tahoma"/>
        </w:rPr>
      </w:pPr>
    </w:p>
    <w:p w:rsidR="00376970" w:rsidRDefault="00376970" w:rsidP="006856D3">
      <w:pPr>
        <w:ind w:firstLine="510"/>
        <w:rPr>
          <w:rFonts w:cs="Tahoma"/>
        </w:rPr>
      </w:pPr>
    </w:p>
    <w:p w:rsidR="00376970" w:rsidRDefault="00376970" w:rsidP="006856D3">
      <w:pPr>
        <w:ind w:firstLine="510"/>
        <w:rPr>
          <w:rFonts w:cs="Tahoma"/>
        </w:rPr>
      </w:pPr>
    </w:p>
    <w:p w:rsidR="00376970" w:rsidRDefault="00376970" w:rsidP="006856D3">
      <w:pPr>
        <w:ind w:firstLine="510"/>
        <w:rPr>
          <w:rFonts w:cs="Tahoma"/>
        </w:rPr>
      </w:pPr>
    </w:p>
    <w:p w:rsidR="00376970" w:rsidRDefault="00376970" w:rsidP="006856D3">
      <w:pPr>
        <w:ind w:firstLine="510"/>
        <w:rPr>
          <w:rFonts w:cs="Tahoma"/>
        </w:rPr>
      </w:pPr>
    </w:p>
    <w:p w:rsidR="00376970" w:rsidRDefault="00376970" w:rsidP="006856D3">
      <w:pPr>
        <w:ind w:firstLine="510"/>
        <w:rPr>
          <w:rFonts w:cs="Tahoma"/>
        </w:rPr>
      </w:pPr>
    </w:p>
    <w:p w:rsidR="00376970" w:rsidRDefault="00376970" w:rsidP="006856D3">
      <w:pPr>
        <w:ind w:firstLine="510"/>
        <w:rPr>
          <w:rFonts w:cs="Tahoma"/>
        </w:rPr>
      </w:pPr>
    </w:p>
    <w:p w:rsidR="00376970" w:rsidRDefault="00376970" w:rsidP="006856D3">
      <w:pPr>
        <w:ind w:firstLine="510"/>
        <w:rPr>
          <w:rFonts w:cs="Tahoma"/>
        </w:rPr>
      </w:pPr>
    </w:p>
    <w:p w:rsidR="00376970" w:rsidRDefault="00376970" w:rsidP="006856D3">
      <w:pPr>
        <w:ind w:firstLine="510"/>
        <w:rPr>
          <w:rFonts w:cs="Tahoma"/>
        </w:rPr>
      </w:pPr>
    </w:p>
    <w:p w:rsidR="00376970" w:rsidRDefault="00376970" w:rsidP="006856D3">
      <w:pPr>
        <w:ind w:firstLine="510"/>
        <w:rPr>
          <w:rFonts w:cs="Tahoma"/>
        </w:rPr>
      </w:pPr>
    </w:p>
    <w:p w:rsidR="00376970" w:rsidRPr="004634E6" w:rsidRDefault="00376970" w:rsidP="006856D3">
      <w:pPr>
        <w:ind w:firstLine="510"/>
        <w:rPr>
          <w:rFonts w:cs="Tahoma"/>
        </w:rPr>
      </w:pPr>
    </w:p>
    <w:p w:rsidR="006856D3" w:rsidRPr="004634E6" w:rsidRDefault="00803610" w:rsidP="006856D3">
      <w:pPr>
        <w:ind w:firstLine="510"/>
        <w:rPr>
          <w:rFonts w:cs="Tahoma"/>
        </w:rPr>
      </w:pPr>
      <w:r>
        <w:rPr>
          <w:rFonts w:cs="Tahoma"/>
          <w:noProof/>
        </w:rPr>
        <w:lastRenderedPageBreak/>
        <w:pict>
          <v:shape id="_x0000_s1183" type="#_x0000_t202" style="position:absolute;left:0;text-align:left;margin-left:-230.6pt;margin-top:-4.35pt;width:217.75pt;height:388.5pt;z-index:251701248" stroked="f">
            <v:textbox>
              <w:txbxContent>
                <w:p w:rsidR="00280598" w:rsidRDefault="00280598" w:rsidP="006856D3">
                  <w:pPr>
                    <w:pStyle w:val="Caption"/>
                    <w:rPr>
                      <w:lang w:val="en-GB"/>
                    </w:rPr>
                  </w:pPr>
                  <w:r>
                    <w:t xml:space="preserve">Chart </w:t>
                  </w:r>
                  <w:fldSimple w:instr=" SEQ Графикон_бр. \* ARABIC ">
                    <w:r>
                      <w:rPr>
                        <w:noProof/>
                      </w:rPr>
                      <w:t>40</w:t>
                    </w:r>
                  </w:fldSimple>
                  <w:r w:rsidRPr="00791A55">
                    <w:rPr>
                      <w:lang w:val="mk-MK"/>
                    </w:rPr>
                    <w:t xml:space="preserve"> </w:t>
                  </w:r>
                </w:p>
                <w:p w:rsidR="00280598" w:rsidRPr="00B62897" w:rsidRDefault="00280598" w:rsidP="006856D3">
                  <w:pPr>
                    <w:pStyle w:val="Caption"/>
                    <w:rPr>
                      <w:b w:val="0"/>
                    </w:rPr>
                  </w:pPr>
                  <w:r>
                    <w:t>Cumulative difference between banks' assets and liabilities according to the contractual residual maturity up to 30 days, total (up) and by currency as of 31.12.2013 (down)</w:t>
                  </w:r>
                </w:p>
                <w:p w:rsidR="00280598" w:rsidRPr="00791A55" w:rsidRDefault="00280598" w:rsidP="006856D3">
                  <w:pPr>
                    <w:rPr>
                      <w:sz w:val="18"/>
                      <w:szCs w:val="18"/>
                      <w:lang w:val="mk-MK"/>
                    </w:rPr>
                  </w:pPr>
                  <w:r>
                    <w:rPr>
                      <w:sz w:val="18"/>
                      <w:szCs w:val="18"/>
                    </w:rPr>
                    <w:t>(as percentage of cumulative assets with the same contractual residual maturity)</w:t>
                  </w:r>
                </w:p>
                <w:p w:rsidR="00280598" w:rsidRDefault="00280598" w:rsidP="006856D3">
                  <w:pPr>
                    <w:pStyle w:val="Caption"/>
                    <w:rPr>
                      <w:lang w:val="mk-MK"/>
                    </w:rPr>
                  </w:pPr>
                  <w:r w:rsidRPr="005259E1">
                    <w:rPr>
                      <w:noProof/>
                      <w:bdr w:val="single" w:sz="4" w:space="0" w:color="auto"/>
                    </w:rPr>
                    <w:drawing>
                      <wp:inline distT="0" distB="0" distL="0" distR="0">
                        <wp:extent cx="2582545" cy="3441788"/>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2545" cy="3441788"/>
                                </a:xfrm>
                                <a:prstGeom prst="rect">
                                  <a:avLst/>
                                </a:prstGeom>
                                <a:noFill/>
                                <a:ln>
                                  <a:noFill/>
                                </a:ln>
                              </pic:spPr>
                            </pic:pic>
                          </a:graphicData>
                        </a:graphic>
                      </wp:inline>
                    </w:drawing>
                  </w:r>
                </w:p>
                <w:p w:rsidR="00280598" w:rsidRPr="005A6118" w:rsidRDefault="00280598" w:rsidP="006856D3">
                  <w:pPr>
                    <w:rPr>
                      <w:sz w:val="18"/>
                      <w:szCs w:val="18"/>
                      <w:lang w:val="mk-MK"/>
                    </w:rPr>
                  </w:pPr>
                  <w:r>
                    <w:rPr>
                      <w:sz w:val="18"/>
                      <w:szCs w:val="18"/>
                      <w:lang w:val="mk-MK"/>
                    </w:rPr>
                    <w:t>Source: NBRM, based on data submitted by banks</w:t>
                  </w:r>
                  <w:r w:rsidRPr="005A6118">
                    <w:rPr>
                      <w:sz w:val="18"/>
                      <w:szCs w:val="18"/>
                      <w:lang w:val="mk-MK"/>
                    </w:rPr>
                    <w:t>.</w:t>
                  </w:r>
                </w:p>
                <w:p w:rsidR="00280598" w:rsidRPr="00E035B8" w:rsidRDefault="00280598" w:rsidP="006856D3">
                  <w:pPr>
                    <w:rPr>
                      <w:lang w:val="mk-MK"/>
                    </w:rPr>
                  </w:pPr>
                </w:p>
              </w:txbxContent>
            </v:textbox>
          </v:shape>
        </w:pict>
      </w:r>
      <w:r w:rsidR="006856D3" w:rsidRPr="004634E6">
        <w:rPr>
          <w:rFonts w:cs="Tahoma"/>
        </w:rPr>
        <w:t xml:space="preserve">In the expected maturity between assets and liabilities of banks in all maturity segments, the cumulative difference was positive (Annex 30) throughout 2013. This means that the banks' expectations for stability of deposits as the main source of funding for their activities are being maintained continuously. Thus, according to banks' expectations, as of December 31, 2013, 83.0% of the deposits with residual maturity of up to three months would be stable and remain in the banks during the next three months, which is an identical level as that registered at the end of 2012. High level of expected stability for a period of three months is registered also in demand deposits (92.7%) and in time deposits (81.4%). </w:t>
      </w:r>
    </w:p>
    <w:p w:rsidR="00376970" w:rsidRPr="004634E6" w:rsidRDefault="00376970" w:rsidP="006856D3">
      <w:pPr>
        <w:ind w:firstLine="510"/>
        <w:rPr>
          <w:rFonts w:cs="Tahoma"/>
        </w:rPr>
      </w:pPr>
    </w:p>
    <w:p w:rsidR="006856D3" w:rsidRPr="004634E6" w:rsidRDefault="006856D3" w:rsidP="00C5550A">
      <w:pPr>
        <w:pStyle w:val="Heading3"/>
      </w:pPr>
      <w:bookmarkStart w:id="19" w:name="_Toc393283594"/>
      <w:r w:rsidRPr="004634E6">
        <w:t>Stress-testing of the sensitivity of the banking system to increased liquidity risk</w:t>
      </w:r>
      <w:bookmarkEnd w:id="19"/>
    </w:p>
    <w:p w:rsidR="006856D3" w:rsidRPr="004634E6" w:rsidRDefault="006856D3" w:rsidP="006856D3">
      <w:pPr>
        <w:ind w:firstLine="510"/>
        <w:rPr>
          <w:rFonts w:cs="Tahoma"/>
        </w:rPr>
      </w:pPr>
    </w:p>
    <w:p w:rsidR="006856D3" w:rsidRPr="004634E6" w:rsidRDefault="006856D3" w:rsidP="009766A6">
      <w:pPr>
        <w:ind w:firstLine="510"/>
        <w:rPr>
          <w:rFonts w:cs="Tahoma"/>
        </w:rPr>
      </w:pPr>
      <w:r w:rsidRPr="004634E6">
        <w:rPr>
          <w:rFonts w:cs="Tahoma"/>
        </w:rPr>
        <w:t>During 2013, the Macedonian banking system still had a sufficient level of resilience to simulated liquidity shocks. The relatively high volume of liquid assets, followed by a relatively simple structure of the funding sources are the key factors that allow solid capacity of banks for coping with potential outflows of funding sources. In the simulated withdrawal of deposits of the twenty largest depositors, compared with the simulated withdrawal of 20% of the household deposits, greater dispersion in the results of the stress test among the banks was registered. The share of liquid assets in the total assets during the simulated withdrawal of deposits of the twenty largest depositors decreased from 31.2% to 21.2%, while during the simulated withdrawal of 20% of the household deposits, the share of liquid assets in the total assets would equal 22.6%. The coverage of short-term liabilities</w:t>
      </w:r>
      <w:r w:rsidRPr="004634E6">
        <w:rPr>
          <w:rStyle w:val="FootnoteReference"/>
          <w:rFonts w:cs="Tahoma"/>
        </w:rPr>
        <w:footnoteReference w:id="31"/>
      </w:r>
      <w:r w:rsidRPr="004634E6">
        <w:rPr>
          <w:rFonts w:cs="Tahoma"/>
        </w:rPr>
        <w:t xml:space="preserve"> in these simulations is reduced by 10.6 and 12.6 percentage points, respectively, while the coverage of the total deposits with liquid assets plummeted from 42.9% to 33.0% and 31.2%, respectively.</w:t>
      </w:r>
    </w:p>
    <w:p w:rsidR="006856D3" w:rsidRPr="004634E6" w:rsidRDefault="00803610" w:rsidP="006856D3">
      <w:pPr>
        <w:ind w:firstLine="510"/>
        <w:rPr>
          <w:rFonts w:cs="Tahoma"/>
          <w:lang w:val="mk-MK"/>
        </w:rPr>
      </w:pPr>
      <w:r>
        <w:rPr>
          <w:rFonts w:cs="Tahoma"/>
          <w:noProof/>
        </w:rPr>
        <w:lastRenderedPageBreak/>
        <w:pict>
          <v:shape id="_x0000_s1184" type="#_x0000_t202" style="position:absolute;left:0;text-align:left;margin-left:-224.55pt;margin-top:-6.6pt;width:217.75pt;height:393.75pt;z-index:251702272" stroked="f">
            <v:textbox style="mso-next-textbox:#_x0000_s1184">
              <w:txbxContent>
                <w:p w:rsidR="00280598" w:rsidRDefault="00280598" w:rsidP="006856D3">
                  <w:pPr>
                    <w:pStyle w:val="Caption"/>
                    <w:rPr>
                      <w:b w:val="0"/>
                    </w:rPr>
                  </w:pPr>
                  <w:r>
                    <w:t xml:space="preserve">Chart </w:t>
                  </w:r>
                  <w:fldSimple w:instr=" SEQ Графикон_бр. \* ARABIC ">
                    <w:r>
                      <w:rPr>
                        <w:noProof/>
                      </w:rPr>
                      <w:t>41</w:t>
                    </w:r>
                  </w:fldSimple>
                </w:p>
                <w:p w:rsidR="00280598" w:rsidRDefault="00280598" w:rsidP="006856D3">
                  <w:pPr>
                    <w:pStyle w:val="Caption"/>
                    <w:rPr>
                      <w:lang w:val="en-GB"/>
                    </w:rPr>
                  </w:pPr>
                  <w:r>
                    <w:rPr>
                      <w:lang w:val="en-GB"/>
                    </w:rPr>
                    <w:t>Decrease of liquid assets after simulations for withdrawal of</w:t>
                  </w:r>
                </w:p>
                <w:p w:rsidR="00280598" w:rsidRPr="009766A6" w:rsidRDefault="00280598" w:rsidP="006856D3">
                  <w:pPr>
                    <w:rPr>
                      <w:sz w:val="20"/>
                      <w:szCs w:val="20"/>
                      <w:lang w:val="en-GB"/>
                    </w:rPr>
                  </w:pPr>
                  <w:r w:rsidRPr="009766A6">
                    <w:rPr>
                      <w:sz w:val="20"/>
                      <w:szCs w:val="20"/>
                      <w:lang w:val="en-GB"/>
                    </w:rPr>
                    <w:t>- 20% of households’ deposits (up) and</w:t>
                  </w:r>
                </w:p>
                <w:p w:rsidR="00280598" w:rsidRPr="009766A6" w:rsidRDefault="00280598" w:rsidP="006856D3">
                  <w:pPr>
                    <w:rPr>
                      <w:sz w:val="20"/>
                      <w:szCs w:val="20"/>
                      <w:lang w:val="en-GB"/>
                    </w:rPr>
                  </w:pPr>
                  <w:r w:rsidRPr="009766A6">
                    <w:rPr>
                      <w:sz w:val="20"/>
                      <w:szCs w:val="20"/>
                      <w:lang w:val="en-GB"/>
                    </w:rPr>
                    <w:t xml:space="preserve">- </w:t>
                  </w:r>
                  <w:r w:rsidRPr="009766A6">
                    <w:rPr>
                      <w:rFonts w:cs="Tahoma"/>
                      <w:sz w:val="20"/>
                      <w:szCs w:val="20"/>
                    </w:rPr>
                    <w:t>deposits of twenty largest depositors</w:t>
                  </w:r>
                  <w:r w:rsidRPr="009766A6">
                    <w:rPr>
                      <w:sz w:val="20"/>
                      <w:szCs w:val="20"/>
                      <w:lang w:val="en-GB"/>
                    </w:rPr>
                    <w:t xml:space="preserve"> (down)</w:t>
                  </w:r>
                </w:p>
                <w:p w:rsidR="00280598" w:rsidRPr="009766A6" w:rsidRDefault="00280598" w:rsidP="006856D3">
                  <w:pPr>
                    <w:pStyle w:val="Caption"/>
                    <w:rPr>
                      <w:b w:val="0"/>
                      <w:sz w:val="18"/>
                      <w:szCs w:val="18"/>
                      <w:lang w:val="mk-MK"/>
                    </w:rPr>
                  </w:pPr>
                  <w:r w:rsidRPr="009766A6">
                    <w:rPr>
                      <w:b w:val="0"/>
                      <w:sz w:val="18"/>
                      <w:szCs w:val="18"/>
                    </w:rPr>
                    <w:t>(in percentage)</w:t>
                  </w:r>
                </w:p>
                <w:p w:rsidR="00280598" w:rsidRDefault="00280598" w:rsidP="006856D3">
                  <w:pPr>
                    <w:pStyle w:val="Caption"/>
                    <w:rPr>
                      <w:lang w:val="mk-MK"/>
                    </w:rPr>
                  </w:pPr>
                  <w:r w:rsidRPr="00EF2226">
                    <w:rPr>
                      <w:noProof/>
                      <w:bdr w:val="single" w:sz="4" w:space="0" w:color="auto"/>
                    </w:rPr>
                    <w:drawing>
                      <wp:inline distT="0" distB="0" distL="0" distR="0">
                        <wp:extent cx="2579274" cy="3632200"/>
                        <wp:effectExtent l="1905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9274" cy="3632200"/>
                                </a:xfrm>
                                <a:prstGeom prst="rect">
                                  <a:avLst/>
                                </a:prstGeom>
                                <a:noFill/>
                                <a:ln>
                                  <a:noFill/>
                                </a:ln>
                              </pic:spPr>
                            </pic:pic>
                          </a:graphicData>
                        </a:graphic>
                      </wp:inline>
                    </w:drawing>
                  </w:r>
                </w:p>
                <w:p w:rsidR="00280598" w:rsidRPr="005A6118" w:rsidRDefault="00280598" w:rsidP="006856D3">
                  <w:pPr>
                    <w:rPr>
                      <w:sz w:val="18"/>
                      <w:szCs w:val="18"/>
                      <w:lang w:val="mk-MK"/>
                    </w:rPr>
                  </w:pPr>
                  <w:r>
                    <w:rPr>
                      <w:sz w:val="18"/>
                      <w:szCs w:val="18"/>
                      <w:lang w:val="mk-MK"/>
                    </w:rPr>
                    <w:t>Source: NBRM, based on data submitted by banks</w:t>
                  </w:r>
                  <w:r w:rsidRPr="005A6118">
                    <w:rPr>
                      <w:sz w:val="18"/>
                      <w:szCs w:val="18"/>
                      <w:lang w:val="mk-MK"/>
                    </w:rPr>
                    <w:t>.</w:t>
                  </w:r>
                </w:p>
                <w:p w:rsidR="00280598" w:rsidRPr="00E035B8" w:rsidRDefault="00280598" w:rsidP="006856D3">
                  <w:pPr>
                    <w:rPr>
                      <w:lang w:val="mk-MK"/>
                    </w:rPr>
                  </w:pPr>
                </w:p>
              </w:txbxContent>
            </v:textbox>
          </v:shape>
        </w:pict>
      </w:r>
      <w:r w:rsidR="006856D3" w:rsidRPr="004634E6">
        <w:rPr>
          <w:rFonts w:cs="Tahoma"/>
        </w:rPr>
        <w:t>The stable liquidity position of Macedonian banks is confirmed through the simulation that involves outflow of the sources of funding that domestic banks used from their foreign parent banks</w:t>
      </w:r>
      <w:r w:rsidR="006856D3" w:rsidRPr="004634E6">
        <w:rPr>
          <w:rStyle w:val="FootnoteReference"/>
          <w:rFonts w:cs="Tahoma"/>
        </w:rPr>
        <w:footnoteReference w:id="32"/>
      </w:r>
      <w:r w:rsidR="006856D3" w:rsidRPr="004634E6">
        <w:rPr>
          <w:rFonts w:cs="Tahoma"/>
        </w:rPr>
        <w:t>. The possible withdrawal of these sources of funding from parent entities would cause a decrease of the liquid assets of the banking system by 7.6%, whereby the share of liquid assets in the total assets would be lower by 1.7 percentage points. Analyzed by individual bank, liquid assets would decrease in an interval from 0.2% to 52.0%.</w:t>
      </w: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877709" w:rsidRPr="00877709" w:rsidRDefault="00877709" w:rsidP="00C60FE4">
      <w:pPr>
        <w:rPr>
          <w:rFonts w:eastAsiaTheme="majorEastAsia" w:cstheme="majorBidi"/>
          <w:iCs/>
        </w:rPr>
      </w:pPr>
    </w:p>
    <w:p w:rsidR="009333CB" w:rsidRPr="00877709" w:rsidRDefault="009333CB" w:rsidP="00C60FE4">
      <w:pPr>
        <w:rPr>
          <w:rFonts w:eastAsiaTheme="majorEastAsia" w:cstheme="majorBidi"/>
          <w:iCs/>
        </w:rPr>
      </w:pPr>
    </w:p>
    <w:p w:rsidR="009333CB" w:rsidRPr="00A83AEA" w:rsidRDefault="009333CB" w:rsidP="00C5550A">
      <w:pPr>
        <w:pStyle w:val="Heading2"/>
      </w:pPr>
      <w:bookmarkStart w:id="20" w:name="_Toc393283595"/>
      <w:r w:rsidRPr="00A83AEA">
        <w:t>Currency risk</w:t>
      </w:r>
      <w:bookmarkEnd w:id="20"/>
    </w:p>
    <w:p w:rsidR="009333CB" w:rsidRPr="00A83AEA" w:rsidRDefault="009333CB" w:rsidP="009333CB">
      <w:pPr>
        <w:rPr>
          <w:rFonts w:cs="Tahoma"/>
        </w:rPr>
      </w:pPr>
    </w:p>
    <w:p w:rsidR="009333CB" w:rsidRPr="00B876D9" w:rsidRDefault="009333CB" w:rsidP="009333CB">
      <w:pPr>
        <w:ind w:left="-4536" w:firstLine="567"/>
        <w:rPr>
          <w:rFonts w:cs="Tahoma"/>
          <w:b/>
        </w:rPr>
      </w:pPr>
      <w:r w:rsidRPr="00A83AEA">
        <w:rPr>
          <w:rFonts w:cs="Tahoma"/>
          <w:b/>
        </w:rPr>
        <w:t xml:space="preserve">The banking system in the Republic of Macedonia has low exposure to currency risk. Despite the widened gap between assets and liabilities with a currency component, and its increased share in the own funds of the banking system, the aggregate currency position of all banks remains within the prescribed limit of 30%. Euro is the most common currency in the assets and liabilities with a currency component, wherefore amid the monetary strategy of maintaining a stable exchange rate of the Denar against the Euro, the currency risk still has little importance for the stability of the banking system.    </w:t>
      </w:r>
    </w:p>
    <w:p w:rsidR="009333CB" w:rsidRDefault="00803610" w:rsidP="009333CB">
      <w:pPr>
        <w:ind w:firstLine="720"/>
        <w:rPr>
          <w:rFonts w:cs="Tahoma"/>
        </w:rPr>
      </w:pPr>
      <w:r w:rsidRPr="00803610">
        <w:rPr>
          <w:rFonts w:cs="Tahoma"/>
          <w:b/>
          <w:noProof/>
        </w:rPr>
        <w:lastRenderedPageBreak/>
        <w:pict>
          <v:shape id="_x0000_s1185" type="#_x0000_t202" style="position:absolute;left:0;text-align:left;margin-left:-226.5pt;margin-top:-4.5pt;width:471.6pt;height:198pt;z-index:251704320" stroked="f" strokecolor="black [3213]">
            <v:textbox style="mso-next-textbox:#_x0000_s1185">
              <w:txbxContent>
                <w:p w:rsidR="00280598" w:rsidRPr="001263EE" w:rsidRDefault="00280598" w:rsidP="009333CB">
                  <w:pPr>
                    <w:pStyle w:val="Caption"/>
                    <w:rPr>
                      <w:b w:val="0"/>
                      <w:lang w:val="mk-MK"/>
                    </w:rPr>
                  </w:pPr>
                  <w:r>
                    <w:t xml:space="preserve">Chart </w:t>
                  </w:r>
                  <w:fldSimple w:instr=" SEQ Графикон_бр. \* ARABIC ">
                    <w:r>
                      <w:rPr>
                        <w:noProof/>
                      </w:rPr>
                      <w:t>42</w:t>
                    </w:r>
                  </w:fldSimple>
                  <w:r w:rsidRPr="001263EE">
                    <w:rPr>
                      <w:lang w:val="mk-MK"/>
                    </w:rPr>
                    <w:t xml:space="preserve"> </w:t>
                  </w:r>
                </w:p>
                <w:p w:rsidR="00280598" w:rsidRPr="001263EE" w:rsidRDefault="00280598" w:rsidP="009333CB">
                  <w:pPr>
                    <w:pStyle w:val="Caption"/>
                    <w:rPr>
                      <w:b w:val="0"/>
                    </w:rPr>
                  </w:pPr>
                  <w:r>
                    <w:t>Annual change of assets and liabilities with currency component</w:t>
                  </w:r>
                </w:p>
                <w:p w:rsidR="00280598" w:rsidRPr="001702C3" w:rsidRDefault="00280598" w:rsidP="009333CB">
                  <w:pPr>
                    <w:rPr>
                      <w:sz w:val="18"/>
                      <w:szCs w:val="18"/>
                    </w:rPr>
                  </w:pPr>
                  <w:r>
                    <w:rPr>
                      <w:sz w:val="18"/>
                      <w:szCs w:val="18"/>
                    </w:rPr>
                    <w:t>in millions of denars</w:t>
                  </w:r>
                  <w:r>
                    <w:rPr>
                      <w:sz w:val="18"/>
                      <w:szCs w:val="18"/>
                      <w:lang w:val="mk-MK"/>
                    </w:rPr>
                    <w:tab/>
                  </w:r>
                  <w:r>
                    <w:rPr>
                      <w:sz w:val="18"/>
                      <w:szCs w:val="18"/>
                      <w:lang w:val="mk-MK"/>
                    </w:rPr>
                    <w:tab/>
                    <w:t xml:space="preserve">     </w:t>
                  </w:r>
                  <w:r>
                    <w:rPr>
                      <w:sz w:val="18"/>
                      <w:szCs w:val="18"/>
                      <w:lang w:val="mk-MK"/>
                    </w:rPr>
                    <w:tab/>
                  </w:r>
                  <w:r>
                    <w:rPr>
                      <w:sz w:val="18"/>
                      <w:szCs w:val="18"/>
                      <w:lang w:val="mk-MK"/>
                    </w:rPr>
                    <w:tab/>
                  </w:r>
                  <w:r>
                    <w:rPr>
                      <w:sz w:val="18"/>
                      <w:szCs w:val="18"/>
                    </w:rPr>
                    <w:t xml:space="preserve">       in %</w:t>
                  </w:r>
                </w:p>
                <w:p w:rsidR="00280598" w:rsidRPr="00697C59" w:rsidRDefault="00280598" w:rsidP="009333CB">
                  <w:pPr>
                    <w:pStyle w:val="Caption"/>
                  </w:pPr>
                  <w:r w:rsidRPr="00B876D9">
                    <w:rPr>
                      <w:noProof/>
                    </w:rPr>
                    <w:drawing>
                      <wp:inline distT="0" distB="0" distL="0" distR="0">
                        <wp:extent cx="5734049" cy="1762125"/>
                        <wp:effectExtent l="19050" t="19050" r="19051" b="2857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5740457" cy="1764094"/>
                                </a:xfrm>
                                <a:prstGeom prst="rect">
                                  <a:avLst/>
                                </a:prstGeom>
                                <a:noFill/>
                                <a:ln w="9525">
                                  <a:solidFill>
                                    <a:schemeClr val="tx1"/>
                                  </a:solidFill>
                                  <a:miter lim="800000"/>
                                  <a:headEnd/>
                                  <a:tailEnd/>
                                </a:ln>
                              </pic:spPr>
                            </pic:pic>
                          </a:graphicData>
                        </a:graphic>
                      </wp:inline>
                    </w:drawing>
                  </w:r>
                </w:p>
                <w:p w:rsidR="00280598" w:rsidRPr="0013203F" w:rsidRDefault="00280598" w:rsidP="009333CB">
                  <w:pPr>
                    <w:pStyle w:val="Caption"/>
                    <w:rPr>
                      <w:b w:val="0"/>
                      <w:sz w:val="18"/>
                      <w:szCs w:val="18"/>
                      <w:lang w:val="mk-MK"/>
                    </w:rPr>
                  </w:pPr>
                  <w:r w:rsidRPr="0013203F">
                    <w:rPr>
                      <w:b w:val="0"/>
                      <w:sz w:val="18"/>
                      <w:szCs w:val="18"/>
                      <w:lang w:val="mk-MK"/>
                    </w:rPr>
                    <w:t>Source: NBRM, based on data submitted by banks</w:t>
                  </w:r>
                </w:p>
                <w:p w:rsidR="00280598" w:rsidRPr="00C17996" w:rsidRDefault="00280598" w:rsidP="009333CB"/>
                <w:p w:rsidR="00280598" w:rsidRDefault="00280598" w:rsidP="009333CB"/>
                <w:p w:rsidR="00280598" w:rsidRPr="00EE26CC" w:rsidRDefault="00280598" w:rsidP="009333CB"/>
                <w:p w:rsidR="00280598" w:rsidRDefault="00280598" w:rsidP="009333CB">
                  <w:pPr>
                    <w:pStyle w:val="Caption"/>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Pr="008476D5" w:rsidRDefault="00280598" w:rsidP="009333CB">
                  <w:pPr>
                    <w:rPr>
                      <w:sz w:val="20"/>
                      <w:szCs w:val="20"/>
                      <w:lang w:val="mk-MK"/>
                    </w:rPr>
                  </w:pPr>
                  <w:r w:rsidRPr="008476D5">
                    <w:rPr>
                      <w:sz w:val="20"/>
                      <w:szCs w:val="20"/>
                      <w:lang w:val="mk-MK"/>
                    </w:rPr>
                    <w:t>Извор:</w:t>
                  </w:r>
                </w:p>
              </w:txbxContent>
            </v:textbox>
            <w10:wrap type="square"/>
          </v:shape>
        </w:pict>
      </w:r>
    </w:p>
    <w:p w:rsidR="009333CB" w:rsidRPr="00A83AEA" w:rsidRDefault="00803610" w:rsidP="009333CB">
      <w:pPr>
        <w:ind w:firstLine="720"/>
        <w:rPr>
          <w:rFonts w:cs="Tahoma"/>
        </w:rPr>
      </w:pPr>
      <w:r w:rsidRPr="00803610">
        <w:rPr>
          <w:rFonts w:cs="Tahoma"/>
          <w:b/>
          <w:noProof/>
        </w:rPr>
        <w:pict>
          <v:shape id="_x0000_s1186" type="#_x0000_t202" style="position:absolute;left:0;text-align:left;margin-left:-226.5pt;margin-top:1.7pt;width:220.25pt;height:213.35pt;z-index:251705344" stroked="f" strokecolor="black [3213]">
            <v:textbox style="mso-next-textbox:#_x0000_s1186">
              <w:txbxContent>
                <w:p w:rsidR="00280598" w:rsidRPr="001263EE" w:rsidRDefault="00280598" w:rsidP="009333CB">
                  <w:pPr>
                    <w:pStyle w:val="Caption"/>
                    <w:rPr>
                      <w:b w:val="0"/>
                      <w:lang w:val="mk-MK"/>
                    </w:rPr>
                  </w:pPr>
                  <w:r>
                    <w:t xml:space="preserve">Chart </w:t>
                  </w:r>
                  <w:fldSimple w:instr=" SEQ Графикон_бр. \* ARABIC ">
                    <w:r>
                      <w:rPr>
                        <w:noProof/>
                      </w:rPr>
                      <w:t>43</w:t>
                    </w:r>
                  </w:fldSimple>
                  <w:r w:rsidRPr="001263EE">
                    <w:rPr>
                      <w:lang w:val="mk-MK"/>
                    </w:rPr>
                    <w:t xml:space="preserve"> </w:t>
                  </w:r>
                </w:p>
                <w:p w:rsidR="00280598" w:rsidRPr="001263EE" w:rsidRDefault="00280598" w:rsidP="009333CB">
                  <w:pPr>
                    <w:pStyle w:val="Caption"/>
                    <w:rPr>
                      <w:b w:val="0"/>
                      <w:lang w:val="mk-MK"/>
                    </w:rPr>
                  </w:pPr>
                  <w:r>
                    <w:t>Structure of the gap between assets and liabilities with currency component</w:t>
                  </w:r>
                </w:p>
                <w:p w:rsidR="00280598" w:rsidRPr="0013203F" w:rsidRDefault="00280598" w:rsidP="009333CB">
                  <w:pPr>
                    <w:pStyle w:val="Caption"/>
                    <w:rPr>
                      <w:b w:val="0"/>
                      <w:sz w:val="18"/>
                      <w:szCs w:val="18"/>
                    </w:rPr>
                  </w:pPr>
                  <w:r w:rsidRPr="0013203F">
                    <w:rPr>
                      <w:b w:val="0"/>
                      <w:sz w:val="18"/>
                      <w:szCs w:val="18"/>
                    </w:rPr>
                    <w:t>in millions of denars</w:t>
                  </w:r>
                </w:p>
                <w:p w:rsidR="00280598" w:rsidRPr="00712981" w:rsidRDefault="00280598" w:rsidP="009333CB">
                  <w:pPr>
                    <w:pStyle w:val="Caption"/>
                    <w:rPr>
                      <w:lang w:val="mk-MK"/>
                    </w:rPr>
                  </w:pPr>
                  <w:r w:rsidRPr="00B876D9">
                    <w:rPr>
                      <w:noProof/>
                    </w:rPr>
                    <w:drawing>
                      <wp:inline distT="0" distB="0" distL="0" distR="0">
                        <wp:extent cx="2571750" cy="1828800"/>
                        <wp:effectExtent l="1905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srcRect/>
                                <a:stretch>
                                  <a:fillRect/>
                                </a:stretch>
                              </pic:blipFill>
                              <pic:spPr bwMode="auto">
                                <a:xfrm>
                                  <a:off x="0" y="0"/>
                                  <a:ext cx="2571750" cy="1828800"/>
                                </a:xfrm>
                                <a:prstGeom prst="rect">
                                  <a:avLst/>
                                </a:prstGeom>
                                <a:noFill/>
                                <a:ln w="9525">
                                  <a:noFill/>
                                  <a:miter lim="800000"/>
                                  <a:headEnd/>
                                  <a:tailEnd/>
                                </a:ln>
                              </pic:spPr>
                            </pic:pic>
                          </a:graphicData>
                        </a:graphic>
                      </wp:inline>
                    </w:drawing>
                  </w:r>
                </w:p>
                <w:p w:rsidR="00280598" w:rsidRPr="0013203F" w:rsidRDefault="00280598" w:rsidP="009333CB">
                  <w:pPr>
                    <w:pStyle w:val="Caption"/>
                    <w:rPr>
                      <w:b w:val="0"/>
                      <w:sz w:val="18"/>
                      <w:szCs w:val="18"/>
                      <w:lang w:val="mk-MK"/>
                    </w:rPr>
                  </w:pPr>
                  <w:r w:rsidRPr="0013203F">
                    <w:rPr>
                      <w:b w:val="0"/>
                      <w:sz w:val="18"/>
                      <w:szCs w:val="18"/>
                      <w:lang w:val="mk-MK"/>
                    </w:rPr>
                    <w:t>Source: NBRM, based on data submitted by banks</w:t>
                  </w:r>
                </w:p>
                <w:p w:rsidR="00280598" w:rsidRPr="00C17996" w:rsidRDefault="00280598" w:rsidP="009333CB"/>
                <w:p w:rsidR="00280598" w:rsidRDefault="00280598" w:rsidP="009333CB"/>
                <w:p w:rsidR="00280598" w:rsidRPr="00EE26CC" w:rsidRDefault="00280598" w:rsidP="009333CB"/>
                <w:p w:rsidR="00280598" w:rsidRDefault="00280598" w:rsidP="009333CB">
                  <w:pPr>
                    <w:pStyle w:val="Caption"/>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Pr="008476D5" w:rsidRDefault="00280598" w:rsidP="009333CB">
                  <w:pPr>
                    <w:rPr>
                      <w:sz w:val="20"/>
                      <w:szCs w:val="20"/>
                      <w:lang w:val="mk-MK"/>
                    </w:rPr>
                  </w:pPr>
                  <w:r w:rsidRPr="008476D5">
                    <w:rPr>
                      <w:sz w:val="20"/>
                      <w:szCs w:val="20"/>
                      <w:lang w:val="mk-MK"/>
                    </w:rPr>
                    <w:t>Извор:</w:t>
                  </w:r>
                </w:p>
              </w:txbxContent>
            </v:textbox>
          </v:shape>
        </w:pict>
      </w:r>
      <w:r w:rsidR="009333CB" w:rsidRPr="00A83AEA">
        <w:rPr>
          <w:rFonts w:cs="Tahoma"/>
        </w:rPr>
        <w:t>As of December 31, 2013, the gap between assets and liabilities with a currency component</w:t>
      </w:r>
      <w:r w:rsidR="009333CB" w:rsidRPr="00A83AEA">
        <w:rPr>
          <w:rStyle w:val="FootnoteReference"/>
          <w:rFonts w:cs="Tahoma"/>
        </w:rPr>
        <w:footnoteReference w:id="33"/>
      </w:r>
      <w:r w:rsidR="009333CB" w:rsidRPr="00A83AEA">
        <w:rPr>
          <w:rFonts w:cs="Tahoma"/>
        </w:rPr>
        <w:t xml:space="preserve"> amounted to Denar 6,903 million. Compared with the previous year, this gap widened by Denar 2,013 million, mainly due to the reduction of liabilities with a currency component by Denar 1.682 million. The reduction of liabilities with a currency component was mostly a result of the decline in the foreign currency deposits, which dropped by Denar 3,086 million</w:t>
      </w:r>
      <w:r w:rsidR="009333CB" w:rsidRPr="00A83AEA">
        <w:rPr>
          <w:rStyle w:val="FootnoteReference"/>
          <w:rFonts w:cs="Tahoma"/>
        </w:rPr>
        <w:footnoteReference w:id="34"/>
      </w:r>
      <w:r w:rsidR="009333CB" w:rsidRPr="00A83AEA">
        <w:rPr>
          <w:rFonts w:cs="Tahoma"/>
        </w:rPr>
        <w:t>, versus the growth of current accounts and other short-term liabilities of Denar 1,433 million</w:t>
      </w:r>
      <w:r w:rsidR="009333CB" w:rsidRPr="00A83AEA">
        <w:rPr>
          <w:rStyle w:val="FootnoteReference"/>
          <w:rFonts w:cs="Tahoma"/>
        </w:rPr>
        <w:footnoteReference w:id="35"/>
      </w:r>
      <w:r w:rsidR="009333CB" w:rsidRPr="00A83AEA">
        <w:rPr>
          <w:rFonts w:cs="Tahoma"/>
        </w:rPr>
        <w:t>. The composition of assets and liabilities with a currency component is shown in Annexes 31 and 32.</w:t>
      </w:r>
    </w:p>
    <w:p w:rsidR="0013203F" w:rsidRDefault="0013203F" w:rsidP="009333CB">
      <w:pPr>
        <w:ind w:firstLine="720"/>
        <w:rPr>
          <w:rFonts w:cs="Tahoma"/>
        </w:rPr>
      </w:pPr>
    </w:p>
    <w:p w:rsidR="0013203F" w:rsidRDefault="0013203F" w:rsidP="009333CB">
      <w:pPr>
        <w:ind w:firstLine="720"/>
        <w:rPr>
          <w:rFonts w:cs="Tahoma"/>
        </w:rPr>
      </w:pPr>
    </w:p>
    <w:p w:rsidR="0013203F" w:rsidRDefault="0013203F" w:rsidP="009333CB">
      <w:pPr>
        <w:ind w:firstLine="720"/>
        <w:rPr>
          <w:rFonts w:cs="Tahoma"/>
        </w:rPr>
      </w:pPr>
    </w:p>
    <w:p w:rsidR="0013203F" w:rsidRDefault="0013203F" w:rsidP="009333CB">
      <w:pPr>
        <w:ind w:firstLine="720"/>
        <w:rPr>
          <w:rFonts w:cs="Tahoma"/>
        </w:rPr>
      </w:pPr>
    </w:p>
    <w:p w:rsidR="0013203F" w:rsidRDefault="0013203F" w:rsidP="009333CB">
      <w:pPr>
        <w:ind w:firstLine="720"/>
        <w:rPr>
          <w:rFonts w:cs="Tahoma"/>
        </w:rPr>
      </w:pPr>
    </w:p>
    <w:p w:rsidR="0013203F" w:rsidRDefault="0013203F" w:rsidP="009333CB">
      <w:pPr>
        <w:ind w:firstLine="720"/>
        <w:rPr>
          <w:rFonts w:cs="Tahoma"/>
        </w:rPr>
      </w:pPr>
    </w:p>
    <w:p w:rsidR="0013203F" w:rsidRDefault="0013203F" w:rsidP="009333CB">
      <w:pPr>
        <w:ind w:firstLine="720"/>
        <w:rPr>
          <w:rFonts w:cs="Tahoma"/>
        </w:rPr>
      </w:pPr>
    </w:p>
    <w:p w:rsidR="009333CB" w:rsidRPr="00A83AEA" w:rsidRDefault="009333CB" w:rsidP="0013203F">
      <w:pPr>
        <w:rPr>
          <w:rFonts w:cs="Tahoma"/>
        </w:rPr>
      </w:pPr>
    </w:p>
    <w:p w:rsidR="009333CB" w:rsidRPr="00A83AEA" w:rsidRDefault="00803610" w:rsidP="009333CB">
      <w:pPr>
        <w:ind w:firstLine="720"/>
        <w:rPr>
          <w:rFonts w:cs="Tahoma"/>
        </w:rPr>
      </w:pPr>
      <w:r>
        <w:rPr>
          <w:rFonts w:cs="Tahoma"/>
          <w:noProof/>
        </w:rPr>
        <w:lastRenderedPageBreak/>
        <w:pict>
          <v:shape id="_x0000_s1187" type="#_x0000_t202" style="position:absolute;left:0;text-align:left;margin-left:-222.8pt;margin-top:-10.35pt;width:215.4pt;height:222.9pt;z-index:251706368" stroked="f" strokecolor="black [3213]">
            <v:textbox style="mso-next-textbox:#_x0000_s1187">
              <w:txbxContent>
                <w:p w:rsidR="00280598" w:rsidRDefault="00280598" w:rsidP="009333CB">
                  <w:pPr>
                    <w:pStyle w:val="Caption"/>
                    <w:rPr>
                      <w:b w:val="0"/>
                      <w:lang w:val="mk-MK"/>
                    </w:rPr>
                  </w:pPr>
                  <w:r>
                    <w:t xml:space="preserve">Chart </w:t>
                  </w:r>
                  <w:fldSimple w:instr=" SEQ Графикон_бр. \* ARABIC ">
                    <w:r>
                      <w:rPr>
                        <w:noProof/>
                      </w:rPr>
                      <w:t>44</w:t>
                    </w:r>
                  </w:fldSimple>
                  <w:r w:rsidRPr="008B0B10">
                    <w:rPr>
                      <w:lang w:val="mk-MK"/>
                    </w:rPr>
                    <w:t xml:space="preserve"> </w:t>
                  </w:r>
                </w:p>
                <w:p w:rsidR="00280598" w:rsidRDefault="00280598" w:rsidP="009333CB">
                  <w:pPr>
                    <w:pStyle w:val="Caption"/>
                    <w:rPr>
                      <w:b w:val="0"/>
                    </w:rPr>
                  </w:pPr>
                  <w:r w:rsidRPr="00DF0442">
                    <w:t xml:space="preserve">Share of </w:t>
                  </w:r>
                  <w:r>
                    <w:t xml:space="preserve">the </w:t>
                  </w:r>
                  <w:r w:rsidRPr="00DF0442">
                    <w:rPr>
                      <w:rFonts w:cs="Tahoma"/>
                    </w:rPr>
                    <w:t>gap between assets and liabilities with a currency component in the banks' own funds</w:t>
                  </w:r>
                  <w:r w:rsidRPr="003D0122">
                    <w:rPr>
                      <w:rFonts w:cs="Tahoma"/>
                    </w:rPr>
                    <w:t xml:space="preserve"> </w:t>
                  </w:r>
                </w:p>
                <w:p w:rsidR="00280598" w:rsidRPr="0013203F" w:rsidRDefault="00280598" w:rsidP="009333CB">
                  <w:pPr>
                    <w:pStyle w:val="Caption"/>
                    <w:rPr>
                      <w:b w:val="0"/>
                      <w:sz w:val="18"/>
                      <w:szCs w:val="18"/>
                    </w:rPr>
                  </w:pPr>
                  <w:r w:rsidRPr="0013203F">
                    <w:rPr>
                      <w:b w:val="0"/>
                      <w:sz w:val="18"/>
                      <w:szCs w:val="18"/>
                    </w:rPr>
                    <w:t>in %</w:t>
                  </w:r>
                </w:p>
                <w:p w:rsidR="00280598" w:rsidRPr="00712981" w:rsidRDefault="00280598" w:rsidP="009333CB">
                  <w:pPr>
                    <w:pStyle w:val="Caption"/>
                    <w:rPr>
                      <w:lang w:val="mk-MK"/>
                    </w:rPr>
                  </w:pPr>
                  <w:r w:rsidRPr="00C60438">
                    <w:rPr>
                      <w:noProof/>
                    </w:rPr>
                    <w:drawing>
                      <wp:inline distT="0" distB="0" distL="0" distR="0">
                        <wp:extent cx="2505075" cy="1838325"/>
                        <wp:effectExtent l="19050" t="0" r="9525"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rcRect/>
                                <a:stretch>
                                  <a:fillRect/>
                                </a:stretch>
                              </pic:blipFill>
                              <pic:spPr bwMode="auto">
                                <a:xfrm>
                                  <a:off x="0" y="0"/>
                                  <a:ext cx="2505075" cy="1838325"/>
                                </a:xfrm>
                                <a:prstGeom prst="rect">
                                  <a:avLst/>
                                </a:prstGeom>
                                <a:noFill/>
                                <a:ln w="9525">
                                  <a:noFill/>
                                  <a:miter lim="800000"/>
                                  <a:headEnd/>
                                  <a:tailEnd/>
                                </a:ln>
                              </pic:spPr>
                            </pic:pic>
                          </a:graphicData>
                        </a:graphic>
                      </wp:inline>
                    </w:drawing>
                  </w:r>
                </w:p>
                <w:p w:rsidR="00280598" w:rsidRPr="0013203F" w:rsidRDefault="00280598" w:rsidP="0013203F">
                  <w:pPr>
                    <w:pStyle w:val="Caption"/>
                    <w:rPr>
                      <w:b w:val="0"/>
                      <w:sz w:val="18"/>
                      <w:szCs w:val="18"/>
                    </w:rPr>
                  </w:pPr>
                  <w:r w:rsidRPr="0013203F">
                    <w:rPr>
                      <w:b w:val="0"/>
                      <w:sz w:val="18"/>
                      <w:szCs w:val="18"/>
                      <w:lang w:val="mk-MK"/>
                    </w:rPr>
                    <w:t>Source: NBRM, based on data submitted by banks</w:t>
                  </w:r>
                </w:p>
                <w:p w:rsidR="00280598" w:rsidRDefault="00280598" w:rsidP="009333CB"/>
                <w:p w:rsidR="00280598" w:rsidRPr="00EE26CC" w:rsidRDefault="00280598" w:rsidP="009333CB"/>
                <w:p w:rsidR="00280598" w:rsidRDefault="00280598" w:rsidP="009333CB">
                  <w:pPr>
                    <w:pStyle w:val="Caption"/>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Pr="008476D5" w:rsidRDefault="00280598" w:rsidP="009333CB">
                  <w:pPr>
                    <w:rPr>
                      <w:sz w:val="20"/>
                      <w:szCs w:val="20"/>
                      <w:lang w:val="mk-MK"/>
                    </w:rPr>
                  </w:pPr>
                  <w:r w:rsidRPr="008476D5">
                    <w:rPr>
                      <w:sz w:val="20"/>
                      <w:szCs w:val="20"/>
                      <w:lang w:val="mk-MK"/>
                    </w:rPr>
                    <w:t>Извор:</w:t>
                  </w:r>
                </w:p>
              </w:txbxContent>
            </v:textbox>
          </v:shape>
        </w:pict>
      </w:r>
      <w:r w:rsidR="009333CB" w:rsidRPr="00A83AEA">
        <w:rPr>
          <w:rFonts w:cs="Tahoma"/>
        </w:rPr>
        <w:t>Despite the increase in the share of the gap between assets and liabilities with a foreign currency component in banks' own funds (by 4.3 percentage points), this indicator still points to a low level of exposure of the banking system to currency risk. The increase stems from the much faster growth of the gap between assets and liabilities with a currency component, relative to the growth of banks' own funds.</w:t>
      </w:r>
    </w:p>
    <w:p w:rsidR="009333CB" w:rsidRPr="00A83AEA" w:rsidRDefault="009333CB" w:rsidP="009333CB">
      <w:pPr>
        <w:ind w:firstLine="720"/>
        <w:rPr>
          <w:rFonts w:cs="Tahoma"/>
        </w:rPr>
      </w:pPr>
    </w:p>
    <w:p w:rsidR="009333CB" w:rsidRPr="00A83AEA" w:rsidRDefault="009333CB" w:rsidP="009333CB">
      <w:pPr>
        <w:ind w:firstLine="720"/>
        <w:rPr>
          <w:rFonts w:cs="Tahoma"/>
        </w:rPr>
      </w:pPr>
    </w:p>
    <w:p w:rsidR="009333CB" w:rsidRPr="00A83AEA" w:rsidRDefault="009333CB" w:rsidP="009333CB">
      <w:pPr>
        <w:ind w:firstLine="720"/>
        <w:rPr>
          <w:rFonts w:cs="Tahoma"/>
        </w:rPr>
      </w:pPr>
    </w:p>
    <w:p w:rsidR="0013203F" w:rsidRDefault="0013203F" w:rsidP="009333CB">
      <w:pPr>
        <w:ind w:firstLine="720"/>
        <w:rPr>
          <w:rFonts w:cs="Tahoma"/>
        </w:rPr>
      </w:pPr>
    </w:p>
    <w:p w:rsidR="0013203F" w:rsidRDefault="0013203F" w:rsidP="009333CB">
      <w:pPr>
        <w:ind w:firstLine="720"/>
        <w:rPr>
          <w:rFonts w:cs="Tahoma"/>
        </w:rPr>
      </w:pPr>
    </w:p>
    <w:p w:rsidR="0013203F" w:rsidRDefault="0013203F" w:rsidP="009333CB">
      <w:pPr>
        <w:ind w:firstLine="720"/>
        <w:rPr>
          <w:rFonts w:cs="Tahoma"/>
        </w:rPr>
      </w:pPr>
    </w:p>
    <w:p w:rsidR="0013203F" w:rsidRDefault="0013203F" w:rsidP="009333CB">
      <w:pPr>
        <w:ind w:firstLine="720"/>
        <w:rPr>
          <w:rFonts w:cs="Tahoma"/>
        </w:rPr>
      </w:pPr>
    </w:p>
    <w:p w:rsidR="009333CB" w:rsidRPr="00A83AEA" w:rsidRDefault="00803610" w:rsidP="009333CB">
      <w:pPr>
        <w:ind w:firstLine="720"/>
        <w:rPr>
          <w:rFonts w:cs="Tahoma"/>
        </w:rPr>
      </w:pPr>
      <w:r>
        <w:rPr>
          <w:rFonts w:cs="Tahoma"/>
          <w:noProof/>
        </w:rPr>
        <w:pict>
          <v:shape id="_x0000_s1188" type="#_x0000_t202" style="position:absolute;left:0;text-align:left;margin-left:-222.8pt;margin-top:.15pt;width:215.4pt;height:226.35pt;z-index:251707392" stroked="f" strokecolor="black [3213]">
            <v:textbox style="mso-next-textbox:#_x0000_s1188">
              <w:txbxContent>
                <w:p w:rsidR="00280598" w:rsidRDefault="00280598" w:rsidP="009333CB">
                  <w:pPr>
                    <w:pStyle w:val="Caption"/>
                  </w:pPr>
                  <w:r>
                    <w:t xml:space="preserve">Chart </w:t>
                  </w:r>
                  <w:fldSimple w:instr=" SEQ Графикон_бр. \* ARABIC ">
                    <w:r>
                      <w:rPr>
                        <w:noProof/>
                      </w:rPr>
                      <w:t>45</w:t>
                    </w:r>
                  </w:fldSimple>
                  <w:r w:rsidRPr="008B0B10">
                    <w:rPr>
                      <w:lang w:val="mk-MK"/>
                    </w:rPr>
                    <w:t xml:space="preserve"> </w:t>
                  </w:r>
                </w:p>
                <w:p w:rsidR="00280598" w:rsidRDefault="00280598" w:rsidP="009333CB">
                  <w:pPr>
                    <w:pStyle w:val="Caption"/>
                    <w:rPr>
                      <w:b w:val="0"/>
                      <w:lang w:val="mk-MK"/>
                    </w:rPr>
                  </w:pPr>
                  <w:r>
                    <w:t>Currency</w:t>
                  </w:r>
                  <w:r w:rsidRPr="001124F5">
                    <w:t xml:space="preserve"> position </w:t>
                  </w:r>
                  <w:r>
                    <w:t>/</w:t>
                  </w:r>
                  <w:r w:rsidRPr="001124F5">
                    <w:t xml:space="preserve"> own funds</w:t>
                  </w:r>
                  <w:r>
                    <w:t xml:space="preserve"> ratio, by country</w:t>
                  </w:r>
                </w:p>
                <w:p w:rsidR="00280598" w:rsidRPr="0013203F" w:rsidRDefault="00280598" w:rsidP="009333CB">
                  <w:pPr>
                    <w:pStyle w:val="Caption"/>
                    <w:rPr>
                      <w:b w:val="0"/>
                      <w:sz w:val="18"/>
                      <w:szCs w:val="18"/>
                    </w:rPr>
                  </w:pPr>
                  <w:r w:rsidRPr="0013203F">
                    <w:rPr>
                      <w:b w:val="0"/>
                      <w:sz w:val="18"/>
                      <w:szCs w:val="18"/>
                    </w:rPr>
                    <w:t>in %</w:t>
                  </w:r>
                </w:p>
                <w:p w:rsidR="00280598" w:rsidRPr="00712981" w:rsidRDefault="00280598" w:rsidP="009333CB">
                  <w:pPr>
                    <w:pStyle w:val="Caption"/>
                    <w:rPr>
                      <w:lang w:val="mk-MK"/>
                    </w:rPr>
                  </w:pPr>
                  <w:r w:rsidRPr="00C60438">
                    <w:rPr>
                      <w:noProof/>
                    </w:rPr>
                    <w:drawing>
                      <wp:inline distT="0" distB="0" distL="0" distR="0">
                        <wp:extent cx="2524124" cy="2047875"/>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rcRect/>
                                <a:stretch>
                                  <a:fillRect/>
                                </a:stretch>
                              </pic:blipFill>
                              <pic:spPr bwMode="auto">
                                <a:xfrm>
                                  <a:off x="0" y="0"/>
                                  <a:ext cx="2527906" cy="2050943"/>
                                </a:xfrm>
                                <a:prstGeom prst="rect">
                                  <a:avLst/>
                                </a:prstGeom>
                                <a:noFill/>
                                <a:ln w="9525">
                                  <a:noFill/>
                                  <a:miter lim="800000"/>
                                  <a:headEnd/>
                                  <a:tailEnd/>
                                </a:ln>
                              </pic:spPr>
                            </pic:pic>
                          </a:graphicData>
                        </a:graphic>
                      </wp:inline>
                    </w:drawing>
                  </w:r>
                </w:p>
                <w:p w:rsidR="00280598" w:rsidRPr="0013203F" w:rsidRDefault="00280598" w:rsidP="0013203F">
                  <w:pPr>
                    <w:pStyle w:val="Caption"/>
                    <w:rPr>
                      <w:b w:val="0"/>
                      <w:sz w:val="18"/>
                      <w:szCs w:val="18"/>
                    </w:rPr>
                  </w:pPr>
                  <w:r w:rsidRPr="0013203F">
                    <w:rPr>
                      <w:b w:val="0"/>
                      <w:sz w:val="18"/>
                      <w:szCs w:val="18"/>
                      <w:lang w:val="mk-MK"/>
                    </w:rPr>
                    <w:t>Source: NBRM, based on data submitted by banks</w:t>
                  </w:r>
                </w:p>
                <w:p w:rsidR="00280598" w:rsidRDefault="00280598" w:rsidP="009333CB"/>
                <w:p w:rsidR="00280598" w:rsidRPr="00EE26CC" w:rsidRDefault="00280598" w:rsidP="009333CB"/>
                <w:p w:rsidR="00280598" w:rsidRDefault="00280598" w:rsidP="009333CB">
                  <w:pPr>
                    <w:pStyle w:val="Caption"/>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Pr="008476D5" w:rsidRDefault="00280598" w:rsidP="009333CB">
                  <w:pPr>
                    <w:rPr>
                      <w:sz w:val="20"/>
                      <w:szCs w:val="20"/>
                      <w:lang w:val="mk-MK"/>
                    </w:rPr>
                  </w:pPr>
                  <w:r w:rsidRPr="008476D5">
                    <w:rPr>
                      <w:sz w:val="20"/>
                      <w:szCs w:val="20"/>
                      <w:lang w:val="mk-MK"/>
                    </w:rPr>
                    <w:t>Извор:</w:t>
                  </w:r>
                </w:p>
              </w:txbxContent>
            </v:textbox>
          </v:shape>
        </w:pict>
      </w:r>
    </w:p>
    <w:p w:rsidR="009333CB" w:rsidRPr="00A83AEA" w:rsidRDefault="009333CB" w:rsidP="009333CB">
      <w:pPr>
        <w:ind w:firstLine="720"/>
        <w:rPr>
          <w:rFonts w:cs="Tahoma"/>
        </w:rPr>
      </w:pPr>
    </w:p>
    <w:p w:rsidR="009333CB" w:rsidRPr="00A83AEA" w:rsidRDefault="009333CB" w:rsidP="009333CB">
      <w:pPr>
        <w:ind w:firstLine="720"/>
        <w:rPr>
          <w:rFonts w:cs="Tahoma"/>
        </w:rPr>
      </w:pPr>
      <w:r w:rsidRPr="00A83AEA">
        <w:rPr>
          <w:rFonts w:cs="Tahoma"/>
        </w:rPr>
        <w:t>The banking system in the Republic of Macedonia has the highest value of the currency position to own funds ratio (except Hungary) compared with the countries included in this analysis. When making this comparative analysis it is very important to have in mind the differences in the applied exchange rate regime, and to some extent the regulatory limit on the open currency position, if any.</w:t>
      </w:r>
    </w:p>
    <w:p w:rsidR="009333CB" w:rsidRPr="00A83AEA" w:rsidRDefault="009333CB" w:rsidP="009333CB">
      <w:pPr>
        <w:ind w:firstLine="720"/>
        <w:rPr>
          <w:rFonts w:cs="Tahoma"/>
        </w:rPr>
      </w:pPr>
    </w:p>
    <w:p w:rsidR="009333CB" w:rsidRPr="00A83AEA" w:rsidRDefault="009333CB" w:rsidP="009333CB">
      <w:pPr>
        <w:ind w:firstLine="720"/>
        <w:rPr>
          <w:rFonts w:cs="Tahoma"/>
        </w:rPr>
      </w:pPr>
    </w:p>
    <w:p w:rsidR="009333CB" w:rsidRPr="00A83AEA" w:rsidRDefault="009333CB" w:rsidP="009333CB">
      <w:pPr>
        <w:ind w:firstLine="720"/>
        <w:rPr>
          <w:rFonts w:cs="Tahoma"/>
        </w:rPr>
      </w:pPr>
    </w:p>
    <w:p w:rsidR="009333CB" w:rsidRPr="00A83AEA" w:rsidRDefault="009333CB" w:rsidP="009333CB">
      <w:pPr>
        <w:ind w:firstLine="720"/>
        <w:rPr>
          <w:rFonts w:cs="Tahoma"/>
        </w:rPr>
      </w:pPr>
    </w:p>
    <w:p w:rsidR="009333CB" w:rsidRPr="00A83AEA" w:rsidRDefault="009333CB" w:rsidP="009333CB">
      <w:pPr>
        <w:ind w:firstLine="720"/>
        <w:rPr>
          <w:rFonts w:cs="Tahoma"/>
        </w:rPr>
      </w:pPr>
    </w:p>
    <w:p w:rsidR="009333CB" w:rsidRPr="00A83AEA" w:rsidRDefault="009333CB" w:rsidP="009333CB">
      <w:pPr>
        <w:ind w:firstLine="720"/>
        <w:rPr>
          <w:rFonts w:cs="Tahoma"/>
        </w:rPr>
      </w:pPr>
    </w:p>
    <w:p w:rsidR="009333CB" w:rsidRPr="00A83AEA" w:rsidRDefault="00803610" w:rsidP="009333CB">
      <w:pPr>
        <w:ind w:firstLine="720"/>
        <w:rPr>
          <w:rFonts w:cs="Tahoma"/>
        </w:rPr>
      </w:pPr>
      <w:r>
        <w:rPr>
          <w:rFonts w:cs="Tahoma"/>
          <w:noProof/>
        </w:rPr>
        <w:pict>
          <v:shape id="_x0000_s1189" type="#_x0000_t202" style="position:absolute;left:0;text-align:left;margin-left:-222.8pt;margin-top:.75pt;width:215.4pt;height:233.25pt;z-index:251708416" stroked="f" strokecolor="black [3213]">
            <v:textbox style="mso-next-textbox:#_x0000_s1189">
              <w:txbxContent>
                <w:p w:rsidR="00280598" w:rsidRDefault="00280598" w:rsidP="009333CB">
                  <w:pPr>
                    <w:pStyle w:val="Caption"/>
                  </w:pPr>
                  <w:r>
                    <w:t xml:space="preserve">Chart </w:t>
                  </w:r>
                  <w:fldSimple w:instr=" SEQ Графикон_бр. \* ARABIC ">
                    <w:r>
                      <w:rPr>
                        <w:noProof/>
                      </w:rPr>
                      <w:t>46</w:t>
                    </w:r>
                  </w:fldSimple>
                  <w:r w:rsidRPr="008B0B10">
                    <w:rPr>
                      <w:lang w:val="mk-MK"/>
                    </w:rPr>
                    <w:t xml:space="preserve"> </w:t>
                  </w:r>
                </w:p>
                <w:p w:rsidR="00280598" w:rsidRPr="00E02015" w:rsidRDefault="00280598" w:rsidP="009333CB">
                  <w:pPr>
                    <w:pStyle w:val="Caption"/>
                  </w:pPr>
                  <w:r>
                    <w:t>Dynamics of the gap between assets and liabilities with currency component, by currency</w:t>
                  </w:r>
                </w:p>
                <w:p w:rsidR="00280598" w:rsidRPr="0013203F" w:rsidRDefault="00280598" w:rsidP="009333CB">
                  <w:pPr>
                    <w:pStyle w:val="Caption"/>
                    <w:rPr>
                      <w:b w:val="0"/>
                      <w:sz w:val="18"/>
                      <w:szCs w:val="18"/>
                    </w:rPr>
                  </w:pPr>
                  <w:r w:rsidRPr="0013203F">
                    <w:rPr>
                      <w:b w:val="0"/>
                      <w:sz w:val="18"/>
                      <w:szCs w:val="18"/>
                    </w:rPr>
                    <w:t>in milions of denars</w:t>
                  </w:r>
                </w:p>
                <w:p w:rsidR="00280598" w:rsidRPr="00712981" w:rsidRDefault="00280598" w:rsidP="009333CB">
                  <w:pPr>
                    <w:pStyle w:val="Caption"/>
                    <w:rPr>
                      <w:lang w:val="mk-MK"/>
                    </w:rPr>
                  </w:pPr>
                  <w:r w:rsidRPr="000B10F4">
                    <w:rPr>
                      <w:noProof/>
                    </w:rPr>
                    <w:drawing>
                      <wp:inline distT="0" distB="0" distL="0" distR="0">
                        <wp:extent cx="2486025" cy="1981200"/>
                        <wp:effectExtent l="19050" t="0" r="9525"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srcRect/>
                                <a:stretch>
                                  <a:fillRect/>
                                </a:stretch>
                              </pic:blipFill>
                              <pic:spPr bwMode="auto">
                                <a:xfrm>
                                  <a:off x="0" y="0"/>
                                  <a:ext cx="2486491" cy="1981571"/>
                                </a:xfrm>
                                <a:prstGeom prst="rect">
                                  <a:avLst/>
                                </a:prstGeom>
                                <a:noFill/>
                                <a:ln w="9525">
                                  <a:noFill/>
                                  <a:miter lim="800000"/>
                                  <a:headEnd/>
                                  <a:tailEnd/>
                                </a:ln>
                              </pic:spPr>
                            </pic:pic>
                          </a:graphicData>
                        </a:graphic>
                      </wp:inline>
                    </w:drawing>
                  </w:r>
                </w:p>
                <w:p w:rsidR="00280598" w:rsidRPr="0013203F" w:rsidRDefault="00280598" w:rsidP="0013203F">
                  <w:pPr>
                    <w:pStyle w:val="Caption"/>
                    <w:rPr>
                      <w:b w:val="0"/>
                      <w:sz w:val="18"/>
                      <w:szCs w:val="18"/>
                    </w:rPr>
                  </w:pPr>
                  <w:r w:rsidRPr="0013203F">
                    <w:rPr>
                      <w:b w:val="0"/>
                      <w:sz w:val="18"/>
                      <w:szCs w:val="18"/>
                      <w:lang w:val="mk-MK"/>
                    </w:rPr>
                    <w:t>Source: NBRM, based on data submitted by banks</w:t>
                  </w:r>
                </w:p>
                <w:p w:rsidR="00280598" w:rsidRDefault="00280598" w:rsidP="009333CB"/>
                <w:p w:rsidR="00280598" w:rsidRPr="00EE26CC" w:rsidRDefault="00280598" w:rsidP="009333CB"/>
                <w:p w:rsidR="00280598" w:rsidRDefault="00280598" w:rsidP="009333CB">
                  <w:pPr>
                    <w:pStyle w:val="Caption"/>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Pr="008476D5" w:rsidRDefault="00280598" w:rsidP="009333CB">
                  <w:pPr>
                    <w:rPr>
                      <w:sz w:val="20"/>
                      <w:szCs w:val="20"/>
                      <w:lang w:val="mk-MK"/>
                    </w:rPr>
                  </w:pPr>
                  <w:r w:rsidRPr="008476D5">
                    <w:rPr>
                      <w:sz w:val="20"/>
                      <w:szCs w:val="20"/>
                      <w:lang w:val="mk-MK"/>
                    </w:rPr>
                    <w:t>Извор:</w:t>
                  </w:r>
                </w:p>
              </w:txbxContent>
            </v:textbox>
          </v:shape>
        </w:pict>
      </w:r>
    </w:p>
    <w:p w:rsidR="009333CB" w:rsidRPr="00A83AEA" w:rsidRDefault="009333CB" w:rsidP="009333CB">
      <w:pPr>
        <w:ind w:firstLine="720"/>
        <w:rPr>
          <w:rFonts w:cs="Tahoma"/>
        </w:rPr>
      </w:pPr>
      <w:r w:rsidRPr="00A83AEA">
        <w:rPr>
          <w:rFonts w:cs="Tahoma"/>
        </w:rPr>
        <w:t>The Euro is the most common foreign currency in the structure of assets and liabilities with a currency component, accounting for 88.8% and 88.4%, respectively. However, despite the predominant presence of this currency, the Euro had little impact on widening the gap between assets and liabilities with a currency component. The largest contribution was that of the US Dollars, whose negative gap decreased by Denar 1,621 million and Swiss Francs whose negative gap turned into positive and as of December 31, 2013 it widened by Denar 1.259 million.</w:t>
      </w:r>
    </w:p>
    <w:p w:rsidR="009333CB" w:rsidRPr="00A83AEA" w:rsidRDefault="009333CB" w:rsidP="009333CB">
      <w:pPr>
        <w:ind w:firstLine="720"/>
        <w:rPr>
          <w:rFonts w:cs="Tahoma"/>
        </w:rPr>
      </w:pPr>
    </w:p>
    <w:p w:rsidR="009333CB" w:rsidRDefault="00803610" w:rsidP="009333CB">
      <w:pPr>
        <w:ind w:firstLine="720"/>
        <w:rPr>
          <w:rFonts w:cs="Tahoma"/>
        </w:rPr>
      </w:pPr>
      <w:r>
        <w:rPr>
          <w:rFonts w:cs="Tahoma"/>
          <w:noProof/>
        </w:rPr>
        <w:lastRenderedPageBreak/>
        <w:pict>
          <v:shape id="_x0000_s1190" type="#_x0000_t202" style="position:absolute;left:0;text-align:left;margin-left:-222.75pt;margin-top:-5.85pt;width:458.75pt;height:145.15pt;z-index:251709440;mso-position-horizontal-relative:margin;mso-position-vertical-relative:margin" stroked="f" strokecolor="black [3213]">
            <v:textbox style="mso-next-textbox:#_x0000_s1190">
              <w:txbxContent>
                <w:p w:rsidR="00280598" w:rsidRPr="001263EE" w:rsidRDefault="00280598" w:rsidP="009333CB">
                  <w:pPr>
                    <w:pStyle w:val="Caption"/>
                    <w:rPr>
                      <w:b w:val="0"/>
                      <w:lang w:val="mk-MK"/>
                    </w:rPr>
                  </w:pPr>
                  <w:r>
                    <w:t>Table</w:t>
                  </w:r>
                  <w:r w:rsidRPr="001263EE">
                    <w:t xml:space="preserve"> </w:t>
                  </w:r>
                  <w:fldSimple w:instr=" SEQ Табела_бр. \* ARABIC ">
                    <w:r>
                      <w:rPr>
                        <w:noProof/>
                      </w:rPr>
                      <w:t>1</w:t>
                    </w:r>
                  </w:fldSimple>
                  <w:r w:rsidRPr="001263EE">
                    <w:rPr>
                      <w:lang w:val="mk-MK"/>
                    </w:rPr>
                    <w:t xml:space="preserve"> </w:t>
                  </w:r>
                </w:p>
                <w:p w:rsidR="00280598" w:rsidRPr="001263EE" w:rsidRDefault="00280598" w:rsidP="009333CB">
                  <w:pPr>
                    <w:pStyle w:val="Caption"/>
                    <w:rPr>
                      <w:b w:val="0"/>
                      <w:lang w:val="mk-MK"/>
                    </w:rPr>
                  </w:pPr>
                  <w:r>
                    <w:t>Currency structure of assets and liabilities with currency component</w:t>
                  </w:r>
                </w:p>
                <w:p w:rsidR="00280598" w:rsidRPr="0072530A" w:rsidRDefault="00280598" w:rsidP="009333CB">
                  <w:pPr>
                    <w:rPr>
                      <w:sz w:val="18"/>
                      <w:szCs w:val="18"/>
                      <w:lang w:val="mk-MK"/>
                    </w:rPr>
                  </w:pPr>
                  <w:r>
                    <w:rPr>
                      <w:sz w:val="18"/>
                      <w:szCs w:val="18"/>
                      <w:lang w:val="mk-MK"/>
                    </w:rPr>
                    <w:t>in %</w:t>
                  </w:r>
                </w:p>
                <w:p w:rsidR="00280598" w:rsidRDefault="00280598" w:rsidP="009333CB">
                  <w:pPr>
                    <w:pStyle w:val="Caption"/>
                    <w:rPr>
                      <w:rFonts w:cs="Tahoma"/>
                      <w:lang w:val="mk-MK"/>
                    </w:rPr>
                  </w:pPr>
                  <w:r w:rsidRPr="001C4796">
                    <w:rPr>
                      <w:noProof/>
                    </w:rPr>
                    <w:drawing>
                      <wp:inline distT="0" distB="0" distL="0" distR="0">
                        <wp:extent cx="5643245" cy="1151030"/>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srcRect/>
                                <a:stretch>
                                  <a:fillRect/>
                                </a:stretch>
                              </pic:blipFill>
                              <pic:spPr bwMode="auto">
                                <a:xfrm>
                                  <a:off x="0" y="0"/>
                                  <a:ext cx="5643245" cy="1151030"/>
                                </a:xfrm>
                                <a:prstGeom prst="rect">
                                  <a:avLst/>
                                </a:prstGeom>
                                <a:noFill/>
                                <a:ln w="9525">
                                  <a:noFill/>
                                  <a:miter lim="800000"/>
                                  <a:headEnd/>
                                  <a:tailEnd/>
                                </a:ln>
                              </pic:spPr>
                            </pic:pic>
                          </a:graphicData>
                        </a:graphic>
                      </wp:inline>
                    </w:drawing>
                  </w:r>
                </w:p>
                <w:p w:rsidR="00280598" w:rsidRPr="00883273" w:rsidRDefault="00280598" w:rsidP="009333CB">
                  <w:pPr>
                    <w:pStyle w:val="Caption"/>
                    <w:rPr>
                      <w:b w:val="0"/>
                      <w:sz w:val="18"/>
                      <w:szCs w:val="18"/>
                      <w:lang w:val="mk-MK"/>
                    </w:rPr>
                  </w:pPr>
                  <w:r w:rsidRPr="000B3F57">
                    <w:rPr>
                      <w:szCs w:val="18"/>
                    </w:rPr>
                    <w:t xml:space="preserve"> </w:t>
                  </w:r>
                  <w:r w:rsidRPr="00883273">
                    <w:rPr>
                      <w:b w:val="0"/>
                      <w:sz w:val="18"/>
                      <w:szCs w:val="18"/>
                      <w:lang w:val="mk-MK"/>
                    </w:rPr>
                    <w:t>Source: NBRM, based on data submitted by banks</w:t>
                  </w:r>
                </w:p>
                <w:p w:rsidR="00280598" w:rsidRPr="00C17996" w:rsidRDefault="00280598" w:rsidP="009333CB"/>
                <w:p w:rsidR="00280598" w:rsidRDefault="00280598" w:rsidP="009333CB"/>
                <w:p w:rsidR="00280598" w:rsidRPr="00EE26CC" w:rsidRDefault="00280598" w:rsidP="009333CB"/>
                <w:p w:rsidR="00280598" w:rsidRDefault="00280598" w:rsidP="009333CB">
                  <w:pPr>
                    <w:pStyle w:val="Caption"/>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Pr="008476D5" w:rsidRDefault="00280598" w:rsidP="009333CB">
                  <w:pPr>
                    <w:rPr>
                      <w:sz w:val="20"/>
                      <w:szCs w:val="20"/>
                      <w:lang w:val="mk-MK"/>
                    </w:rPr>
                  </w:pPr>
                  <w:r w:rsidRPr="008476D5">
                    <w:rPr>
                      <w:sz w:val="20"/>
                      <w:szCs w:val="20"/>
                      <w:lang w:val="mk-MK"/>
                    </w:rPr>
                    <w:t>Извор:</w:t>
                  </w:r>
                </w:p>
              </w:txbxContent>
            </v:textbox>
            <w10:wrap anchorx="margin" anchory="margin"/>
          </v:shape>
        </w:pict>
      </w:r>
    </w:p>
    <w:p w:rsidR="009333CB" w:rsidRDefault="009333CB" w:rsidP="009333CB">
      <w:pPr>
        <w:ind w:firstLine="720"/>
        <w:rPr>
          <w:rFonts w:cs="Tahoma"/>
        </w:rPr>
      </w:pPr>
    </w:p>
    <w:p w:rsidR="009333CB" w:rsidRDefault="009333CB" w:rsidP="009333CB">
      <w:pPr>
        <w:ind w:firstLine="720"/>
        <w:rPr>
          <w:rFonts w:cs="Tahoma"/>
        </w:rPr>
      </w:pPr>
    </w:p>
    <w:p w:rsidR="009333CB" w:rsidRDefault="009333CB" w:rsidP="009333CB">
      <w:pPr>
        <w:ind w:firstLine="720"/>
        <w:rPr>
          <w:rFonts w:cs="Tahoma"/>
        </w:rPr>
      </w:pPr>
    </w:p>
    <w:p w:rsidR="009333CB" w:rsidRDefault="009333CB" w:rsidP="009333CB">
      <w:pPr>
        <w:ind w:firstLine="720"/>
        <w:rPr>
          <w:rFonts w:cs="Tahoma"/>
        </w:rPr>
      </w:pPr>
    </w:p>
    <w:p w:rsidR="009333CB" w:rsidRDefault="009333CB" w:rsidP="009333CB">
      <w:pPr>
        <w:ind w:firstLine="720"/>
        <w:rPr>
          <w:rFonts w:cs="Tahoma"/>
        </w:rPr>
      </w:pPr>
    </w:p>
    <w:p w:rsidR="009333CB" w:rsidRDefault="009333CB" w:rsidP="009333CB">
      <w:pPr>
        <w:ind w:firstLine="720"/>
        <w:rPr>
          <w:rFonts w:cs="Tahoma"/>
        </w:rPr>
      </w:pPr>
    </w:p>
    <w:p w:rsidR="009333CB" w:rsidRDefault="009333CB" w:rsidP="009333CB">
      <w:pPr>
        <w:ind w:firstLine="720"/>
        <w:rPr>
          <w:rFonts w:cs="Tahoma"/>
        </w:rPr>
      </w:pPr>
    </w:p>
    <w:p w:rsidR="009333CB" w:rsidRDefault="009333CB" w:rsidP="009333CB">
      <w:pPr>
        <w:ind w:firstLine="720"/>
        <w:rPr>
          <w:rFonts w:cs="Tahoma"/>
        </w:rPr>
      </w:pPr>
    </w:p>
    <w:p w:rsidR="009333CB" w:rsidRDefault="009333CB" w:rsidP="009333CB">
      <w:pPr>
        <w:ind w:firstLine="720"/>
        <w:rPr>
          <w:rFonts w:cs="Tahoma"/>
        </w:rPr>
      </w:pPr>
    </w:p>
    <w:p w:rsidR="009333CB" w:rsidRDefault="009333CB" w:rsidP="009333CB">
      <w:pPr>
        <w:rPr>
          <w:rFonts w:cs="Tahoma"/>
        </w:rPr>
      </w:pPr>
    </w:p>
    <w:p w:rsidR="009333CB" w:rsidRDefault="009333CB" w:rsidP="009333CB">
      <w:pPr>
        <w:ind w:firstLine="720"/>
        <w:rPr>
          <w:rFonts w:cs="Tahoma"/>
        </w:rPr>
      </w:pPr>
    </w:p>
    <w:p w:rsidR="009333CB" w:rsidRPr="00A83AEA" w:rsidRDefault="00803610" w:rsidP="009333CB">
      <w:pPr>
        <w:ind w:firstLine="720"/>
        <w:rPr>
          <w:rFonts w:cs="Tahoma"/>
        </w:rPr>
      </w:pPr>
      <w:r>
        <w:rPr>
          <w:rFonts w:cs="Tahoma"/>
          <w:noProof/>
        </w:rPr>
        <w:pict>
          <v:shape id="_x0000_s1191" type="#_x0000_t202" style="position:absolute;left:0;text-align:left;margin-left:-226.5pt;margin-top:162.7pt;width:220.15pt;height:215.45pt;z-index:251710464;mso-position-horizontal-relative:margin;mso-position-vertical-relative:margin" stroked="f" strokecolor="black [3213]">
            <v:textbox style="mso-next-textbox:#_x0000_s1191">
              <w:txbxContent>
                <w:p w:rsidR="00280598" w:rsidRPr="001263EE" w:rsidRDefault="00280598" w:rsidP="009333CB">
                  <w:pPr>
                    <w:pStyle w:val="Caption"/>
                    <w:rPr>
                      <w:b w:val="0"/>
                      <w:lang w:val="mk-MK"/>
                    </w:rPr>
                  </w:pPr>
                  <w:r>
                    <w:t xml:space="preserve">Chart </w:t>
                  </w:r>
                  <w:fldSimple w:instr=" SEQ Графикон_бр. \* ARABIC ">
                    <w:r>
                      <w:rPr>
                        <w:noProof/>
                      </w:rPr>
                      <w:t>47</w:t>
                    </w:r>
                  </w:fldSimple>
                  <w:r w:rsidRPr="001263EE">
                    <w:rPr>
                      <w:lang w:val="mk-MK"/>
                    </w:rPr>
                    <w:t xml:space="preserve"> </w:t>
                  </w:r>
                </w:p>
                <w:p w:rsidR="00280598" w:rsidRPr="001263EE" w:rsidRDefault="00280598" w:rsidP="009333CB">
                  <w:pPr>
                    <w:pStyle w:val="Caption"/>
                    <w:rPr>
                      <w:b w:val="0"/>
                      <w:lang w:val="mk-MK"/>
                    </w:rPr>
                  </w:pPr>
                  <w:r>
                    <w:t>Aggregate currency position to own funds ratio, by individual bank</w:t>
                  </w:r>
                </w:p>
                <w:p w:rsidR="00280598" w:rsidRPr="0072530A" w:rsidRDefault="00280598" w:rsidP="009333CB">
                  <w:pPr>
                    <w:rPr>
                      <w:sz w:val="18"/>
                      <w:szCs w:val="18"/>
                      <w:lang w:val="mk-MK"/>
                    </w:rPr>
                  </w:pPr>
                  <w:r>
                    <w:rPr>
                      <w:sz w:val="18"/>
                      <w:szCs w:val="18"/>
                      <w:lang w:val="mk-MK"/>
                    </w:rPr>
                    <w:t>in %</w:t>
                  </w:r>
                </w:p>
                <w:p w:rsidR="00280598" w:rsidRPr="007E7120" w:rsidRDefault="00280598" w:rsidP="009333CB">
                  <w:pPr>
                    <w:pStyle w:val="Caption"/>
                    <w:rPr>
                      <w:b w:val="0"/>
                      <w:lang w:val="mk-MK"/>
                    </w:rPr>
                  </w:pPr>
                  <w:r w:rsidRPr="001C4796">
                    <w:rPr>
                      <w:noProof/>
                    </w:rPr>
                    <w:drawing>
                      <wp:inline distT="0" distB="0" distL="0" distR="0">
                        <wp:extent cx="2533650" cy="1890378"/>
                        <wp:effectExtent l="1905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srcRect/>
                                <a:stretch>
                                  <a:fillRect/>
                                </a:stretch>
                              </pic:blipFill>
                              <pic:spPr bwMode="auto">
                                <a:xfrm>
                                  <a:off x="0" y="0"/>
                                  <a:ext cx="2536732" cy="1892678"/>
                                </a:xfrm>
                                <a:prstGeom prst="rect">
                                  <a:avLst/>
                                </a:prstGeom>
                                <a:noFill/>
                                <a:ln w="9525">
                                  <a:noFill/>
                                  <a:miter lim="800000"/>
                                  <a:headEnd/>
                                  <a:tailEnd/>
                                </a:ln>
                              </pic:spPr>
                            </pic:pic>
                          </a:graphicData>
                        </a:graphic>
                      </wp:inline>
                    </w:drawing>
                  </w:r>
                </w:p>
                <w:p w:rsidR="00280598" w:rsidRPr="00883273" w:rsidRDefault="00280598" w:rsidP="00883273">
                  <w:pPr>
                    <w:pStyle w:val="Caption"/>
                    <w:rPr>
                      <w:b w:val="0"/>
                      <w:sz w:val="18"/>
                      <w:szCs w:val="18"/>
                    </w:rPr>
                  </w:pPr>
                  <w:r w:rsidRPr="00883273">
                    <w:rPr>
                      <w:b w:val="0"/>
                      <w:szCs w:val="18"/>
                    </w:rPr>
                    <w:t xml:space="preserve"> </w:t>
                  </w:r>
                  <w:r w:rsidRPr="00883273">
                    <w:rPr>
                      <w:b w:val="0"/>
                      <w:sz w:val="18"/>
                      <w:szCs w:val="18"/>
                      <w:lang w:val="mk-MK"/>
                    </w:rPr>
                    <w:t>Source: NBRM, based on data submitted by banks</w:t>
                  </w:r>
                </w:p>
                <w:p w:rsidR="00280598" w:rsidRDefault="00280598" w:rsidP="009333CB"/>
                <w:p w:rsidR="00280598" w:rsidRPr="00EE26CC" w:rsidRDefault="00280598" w:rsidP="009333CB"/>
                <w:p w:rsidR="00280598" w:rsidRDefault="00280598" w:rsidP="009333CB">
                  <w:pPr>
                    <w:pStyle w:val="Caption"/>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Pr="008476D5" w:rsidRDefault="00280598" w:rsidP="009333CB">
                  <w:pPr>
                    <w:rPr>
                      <w:sz w:val="20"/>
                      <w:szCs w:val="20"/>
                      <w:lang w:val="mk-MK"/>
                    </w:rPr>
                  </w:pPr>
                  <w:r w:rsidRPr="008476D5">
                    <w:rPr>
                      <w:sz w:val="20"/>
                      <w:szCs w:val="20"/>
                      <w:lang w:val="mk-MK"/>
                    </w:rPr>
                    <w:t>Извор:</w:t>
                  </w:r>
                </w:p>
              </w:txbxContent>
            </v:textbox>
            <w10:wrap anchorx="margin" anchory="margin"/>
          </v:shape>
        </w:pict>
      </w:r>
      <w:r w:rsidR="009333CB" w:rsidRPr="00A83AEA">
        <w:rPr>
          <w:rFonts w:cs="Tahoma"/>
        </w:rPr>
        <w:t xml:space="preserve">As of December 31, 2013, all banks complied with the prescribed limit on the aggregate currency position (30% of the own funds), whereby this indicator remained within the prescribed limits in the beginning of 2014. Most of the banks maintain long open currency position.  </w:t>
      </w:r>
    </w:p>
    <w:p w:rsidR="009333CB" w:rsidRPr="00A83AEA" w:rsidRDefault="009333CB" w:rsidP="009333CB">
      <w:pPr>
        <w:ind w:firstLine="720"/>
        <w:rPr>
          <w:rFonts w:cs="Tahoma"/>
        </w:rPr>
      </w:pPr>
    </w:p>
    <w:p w:rsidR="009333CB" w:rsidRPr="00A83AEA" w:rsidRDefault="009333CB" w:rsidP="009333CB">
      <w:pPr>
        <w:rPr>
          <w:rFonts w:cs="Tahoma"/>
        </w:rPr>
      </w:pPr>
    </w:p>
    <w:p w:rsidR="009333CB" w:rsidRPr="00A83AEA" w:rsidRDefault="009333CB" w:rsidP="009333CB">
      <w:pPr>
        <w:ind w:firstLine="720"/>
        <w:rPr>
          <w:rFonts w:cs="Tahoma"/>
        </w:rPr>
      </w:pPr>
    </w:p>
    <w:p w:rsidR="009333CB" w:rsidRPr="00A83AEA" w:rsidRDefault="009333CB" w:rsidP="009333CB">
      <w:pPr>
        <w:ind w:firstLine="720"/>
        <w:rPr>
          <w:rFonts w:cs="Tahoma"/>
        </w:rPr>
      </w:pPr>
    </w:p>
    <w:p w:rsidR="009333CB" w:rsidRPr="00A83AEA" w:rsidRDefault="009333CB" w:rsidP="009333CB">
      <w:pPr>
        <w:rPr>
          <w:rFonts w:cs="Tahoma"/>
        </w:rPr>
      </w:pPr>
    </w:p>
    <w:p w:rsidR="009333CB" w:rsidRPr="00A83AEA" w:rsidRDefault="009333CB" w:rsidP="009333CB">
      <w:pPr>
        <w:rPr>
          <w:rFonts w:cs="Tahoma"/>
        </w:rPr>
      </w:pPr>
    </w:p>
    <w:p w:rsidR="009333CB" w:rsidRPr="00A83AEA" w:rsidRDefault="009333CB" w:rsidP="009333CB">
      <w:pPr>
        <w:rPr>
          <w:rFonts w:cs="Tahoma"/>
        </w:rPr>
      </w:pPr>
    </w:p>
    <w:p w:rsidR="009333CB" w:rsidRPr="00A83AEA" w:rsidRDefault="009333CB" w:rsidP="009333CB">
      <w:pPr>
        <w:rPr>
          <w:rFonts w:cs="Tahoma"/>
          <w:b/>
        </w:rPr>
      </w:pPr>
      <w:bookmarkStart w:id="21" w:name="_Toc299102816"/>
    </w:p>
    <w:p w:rsidR="009333CB" w:rsidRPr="00A83AEA" w:rsidRDefault="009333CB" w:rsidP="009333CB">
      <w:pPr>
        <w:pStyle w:val="Heading6"/>
        <w:rPr>
          <w:sz w:val="22"/>
        </w:rPr>
      </w:pPr>
    </w:p>
    <w:p w:rsidR="009333CB" w:rsidRPr="00A83AEA" w:rsidRDefault="009333CB" w:rsidP="009333CB">
      <w:pPr>
        <w:pStyle w:val="Heading6"/>
        <w:rPr>
          <w:sz w:val="22"/>
        </w:rPr>
      </w:pPr>
    </w:p>
    <w:p w:rsidR="009333CB" w:rsidRPr="00A83AEA" w:rsidRDefault="00803610" w:rsidP="009333CB">
      <w:pPr>
        <w:pStyle w:val="Heading6"/>
        <w:rPr>
          <w:sz w:val="22"/>
        </w:rPr>
      </w:pPr>
      <w:r w:rsidRPr="00803610">
        <w:rPr>
          <w:bCs/>
          <w:noProof/>
          <w:sz w:val="52"/>
          <w:szCs w:val="52"/>
          <w:lang w:val="mk-MK"/>
        </w:rPr>
        <w:pict>
          <v:shape id="_x0000_s1192" type="#_x0000_t202" style="position:absolute;left:0;text-align:left;margin-left:-222.75pt;margin-top:387.9pt;width:467.1pt;height:176.1pt;z-index:251711488;mso-position-horizontal-relative:margin;mso-position-vertical-relative:margin" stroked="f" strokecolor="black [3213]">
            <v:textbox style="mso-next-textbox:#_x0000_s1192">
              <w:txbxContent>
                <w:p w:rsidR="00280598" w:rsidRPr="001263EE" w:rsidRDefault="00280598" w:rsidP="009333CB">
                  <w:pPr>
                    <w:pStyle w:val="Caption"/>
                    <w:rPr>
                      <w:b w:val="0"/>
                      <w:lang w:val="mk-MK"/>
                    </w:rPr>
                  </w:pPr>
                  <w:r>
                    <w:t>Table</w:t>
                  </w:r>
                  <w:r w:rsidRPr="001263EE">
                    <w:t xml:space="preserve"> </w:t>
                  </w:r>
                  <w:fldSimple w:instr=" SEQ Табела_бр. \* ARABIC ">
                    <w:r>
                      <w:rPr>
                        <w:noProof/>
                      </w:rPr>
                      <w:t>2</w:t>
                    </w:r>
                  </w:fldSimple>
                  <w:r w:rsidRPr="001263EE">
                    <w:rPr>
                      <w:lang w:val="mk-MK"/>
                    </w:rPr>
                    <w:t xml:space="preserve"> </w:t>
                  </w:r>
                </w:p>
                <w:p w:rsidR="00280598" w:rsidRPr="001263EE" w:rsidRDefault="00280598" w:rsidP="009333CB">
                  <w:pPr>
                    <w:pStyle w:val="Caption"/>
                    <w:rPr>
                      <w:rFonts w:cs="Tahoma"/>
                      <w:b w:val="0"/>
                      <w:lang w:val="mk-MK"/>
                    </w:rPr>
                  </w:pPr>
                  <w:r>
                    <w:t xml:space="preserve">Distribution of banks by share of open foreign currency position, by currency in own funds </w:t>
                  </w:r>
                </w:p>
                <w:p w:rsidR="00280598" w:rsidRDefault="00280598" w:rsidP="009333CB">
                  <w:pPr>
                    <w:pStyle w:val="Caption"/>
                    <w:rPr>
                      <w:rFonts w:cs="Tahoma"/>
                      <w:lang w:val="mk-MK"/>
                    </w:rPr>
                  </w:pPr>
                  <w:r w:rsidRPr="0014069D">
                    <w:rPr>
                      <w:noProof/>
                    </w:rPr>
                    <w:drawing>
                      <wp:inline distT="0" distB="0" distL="0" distR="0">
                        <wp:extent cx="5749290" cy="1505501"/>
                        <wp:effectExtent l="19050" t="0" r="381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5749290" cy="1505501"/>
                                </a:xfrm>
                                <a:prstGeom prst="rect">
                                  <a:avLst/>
                                </a:prstGeom>
                                <a:noFill/>
                                <a:ln w="9525">
                                  <a:noFill/>
                                  <a:miter lim="800000"/>
                                  <a:headEnd/>
                                  <a:tailEnd/>
                                </a:ln>
                              </pic:spPr>
                            </pic:pic>
                          </a:graphicData>
                        </a:graphic>
                      </wp:inline>
                    </w:drawing>
                  </w:r>
                </w:p>
                <w:p w:rsidR="00280598" w:rsidRPr="00883273" w:rsidRDefault="00280598" w:rsidP="009333CB">
                  <w:pPr>
                    <w:pStyle w:val="Caption"/>
                    <w:rPr>
                      <w:b w:val="0"/>
                      <w:sz w:val="18"/>
                      <w:szCs w:val="18"/>
                      <w:lang w:val="mk-MK"/>
                    </w:rPr>
                  </w:pPr>
                  <w:r w:rsidRPr="000B3F57">
                    <w:rPr>
                      <w:szCs w:val="18"/>
                    </w:rPr>
                    <w:t xml:space="preserve"> </w:t>
                  </w:r>
                  <w:r w:rsidRPr="00883273">
                    <w:rPr>
                      <w:b w:val="0"/>
                      <w:sz w:val="18"/>
                      <w:szCs w:val="18"/>
                      <w:lang w:val="mk-MK"/>
                    </w:rPr>
                    <w:t>Source: NBRM, based on data submitted by banks</w:t>
                  </w:r>
                </w:p>
                <w:p w:rsidR="00280598" w:rsidRPr="00C17996" w:rsidRDefault="00280598" w:rsidP="009333CB"/>
                <w:p w:rsidR="00280598" w:rsidRDefault="00280598" w:rsidP="009333CB"/>
                <w:p w:rsidR="00280598" w:rsidRPr="00EE26CC" w:rsidRDefault="00280598" w:rsidP="009333CB"/>
                <w:p w:rsidR="00280598" w:rsidRDefault="00280598" w:rsidP="009333CB">
                  <w:pPr>
                    <w:pStyle w:val="Caption"/>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Default="00280598" w:rsidP="009333CB">
                  <w:pPr>
                    <w:rPr>
                      <w:lang w:val="mk-MK"/>
                    </w:rPr>
                  </w:pPr>
                </w:p>
                <w:p w:rsidR="00280598" w:rsidRPr="008476D5" w:rsidRDefault="00280598" w:rsidP="009333CB">
                  <w:pPr>
                    <w:rPr>
                      <w:sz w:val="20"/>
                      <w:szCs w:val="20"/>
                      <w:lang w:val="mk-MK"/>
                    </w:rPr>
                  </w:pPr>
                  <w:r w:rsidRPr="008476D5">
                    <w:rPr>
                      <w:sz w:val="20"/>
                      <w:szCs w:val="20"/>
                      <w:lang w:val="mk-MK"/>
                    </w:rPr>
                    <w:t>Извор:</w:t>
                  </w:r>
                </w:p>
              </w:txbxContent>
            </v:textbox>
            <w10:wrap anchorx="margin" anchory="margin"/>
          </v:shape>
        </w:pict>
      </w:r>
    </w:p>
    <w:p w:rsidR="009333CB" w:rsidRPr="00A83AEA" w:rsidRDefault="009333CB" w:rsidP="009333CB">
      <w:pPr>
        <w:pStyle w:val="Heading6"/>
        <w:rPr>
          <w:sz w:val="22"/>
        </w:rPr>
      </w:pPr>
    </w:p>
    <w:p w:rsidR="009333CB" w:rsidRPr="00A83AEA" w:rsidRDefault="009333CB" w:rsidP="009333CB">
      <w:pPr>
        <w:pStyle w:val="Heading6"/>
        <w:rPr>
          <w:sz w:val="22"/>
        </w:rPr>
      </w:pPr>
    </w:p>
    <w:p w:rsidR="009333CB" w:rsidRPr="00A83AEA" w:rsidRDefault="009333CB" w:rsidP="009333CB">
      <w:pPr>
        <w:pStyle w:val="Heading6"/>
        <w:rPr>
          <w:sz w:val="22"/>
        </w:rPr>
      </w:pPr>
    </w:p>
    <w:bookmarkEnd w:id="21"/>
    <w:p w:rsidR="009333CB" w:rsidRPr="00A83AEA" w:rsidRDefault="009333CB" w:rsidP="009333CB">
      <w:pPr>
        <w:ind w:left="-4536" w:firstLine="709"/>
        <w:rPr>
          <w:rFonts w:cs="Tahoma"/>
          <w:bCs/>
        </w:rPr>
      </w:pPr>
    </w:p>
    <w:p w:rsidR="009333CB" w:rsidRPr="00A83AEA" w:rsidRDefault="009333CB" w:rsidP="009333CB">
      <w:pPr>
        <w:ind w:left="-4536" w:firstLine="709"/>
        <w:rPr>
          <w:rFonts w:cs="Tahoma"/>
          <w:bCs/>
        </w:rPr>
      </w:pPr>
    </w:p>
    <w:p w:rsidR="009333CB" w:rsidRPr="00A83AEA" w:rsidRDefault="009333CB" w:rsidP="009333CB">
      <w:pPr>
        <w:rPr>
          <w:rFonts w:cs="Tahoma"/>
          <w:bCs/>
        </w:rPr>
      </w:pPr>
    </w:p>
    <w:p w:rsidR="00877709" w:rsidRPr="00877709" w:rsidRDefault="00877709" w:rsidP="00C60FE4">
      <w:pPr>
        <w:rPr>
          <w:rFonts w:eastAsiaTheme="majorEastAsia" w:cstheme="majorBidi"/>
          <w:iCs/>
        </w:rPr>
      </w:pPr>
    </w:p>
    <w:p w:rsidR="00877709" w:rsidRDefault="00877709" w:rsidP="00C60FE4">
      <w:pPr>
        <w:rPr>
          <w:rFonts w:eastAsiaTheme="majorEastAsia" w:cstheme="majorBidi"/>
          <w:iCs/>
        </w:rPr>
      </w:pPr>
    </w:p>
    <w:p w:rsidR="009766A6" w:rsidRDefault="009766A6" w:rsidP="00C60FE4">
      <w:pPr>
        <w:rPr>
          <w:rFonts w:eastAsiaTheme="majorEastAsia" w:cstheme="majorBidi"/>
          <w:iCs/>
        </w:rPr>
      </w:pPr>
    </w:p>
    <w:p w:rsidR="009766A6" w:rsidRDefault="009766A6" w:rsidP="00C60FE4">
      <w:pPr>
        <w:rPr>
          <w:rFonts w:eastAsiaTheme="majorEastAsia" w:cstheme="majorBidi"/>
          <w:iCs/>
        </w:rPr>
      </w:pPr>
    </w:p>
    <w:p w:rsidR="009766A6" w:rsidRDefault="009766A6" w:rsidP="00C60FE4">
      <w:pPr>
        <w:rPr>
          <w:rFonts w:eastAsiaTheme="majorEastAsia" w:cstheme="majorBidi"/>
          <w:iCs/>
        </w:rPr>
      </w:pPr>
    </w:p>
    <w:p w:rsidR="009766A6" w:rsidRDefault="009766A6" w:rsidP="00C60FE4">
      <w:pPr>
        <w:rPr>
          <w:rFonts w:eastAsiaTheme="majorEastAsia" w:cstheme="majorBidi"/>
          <w:iCs/>
        </w:rPr>
      </w:pPr>
    </w:p>
    <w:p w:rsidR="009766A6" w:rsidRDefault="009766A6" w:rsidP="00C60FE4">
      <w:pPr>
        <w:rPr>
          <w:rFonts w:eastAsiaTheme="majorEastAsia" w:cstheme="majorBidi"/>
          <w:iCs/>
        </w:rPr>
      </w:pPr>
    </w:p>
    <w:p w:rsidR="009766A6" w:rsidRDefault="009766A6" w:rsidP="00C60FE4">
      <w:pPr>
        <w:rPr>
          <w:rFonts w:eastAsiaTheme="majorEastAsia" w:cstheme="majorBidi"/>
          <w:iCs/>
        </w:rPr>
      </w:pPr>
    </w:p>
    <w:p w:rsidR="009766A6" w:rsidRDefault="009766A6" w:rsidP="00C60FE4">
      <w:pPr>
        <w:rPr>
          <w:rFonts w:eastAsiaTheme="majorEastAsia" w:cstheme="majorBidi"/>
          <w:iCs/>
        </w:rPr>
      </w:pPr>
    </w:p>
    <w:p w:rsidR="00687E72" w:rsidRDefault="00687E72" w:rsidP="00C60FE4">
      <w:pPr>
        <w:rPr>
          <w:rFonts w:eastAsiaTheme="majorEastAsia" w:cstheme="majorBidi"/>
          <w:iCs/>
        </w:rPr>
      </w:pPr>
    </w:p>
    <w:p w:rsidR="00687E72" w:rsidRDefault="00687E72" w:rsidP="00C60FE4">
      <w:pPr>
        <w:rPr>
          <w:rFonts w:eastAsiaTheme="majorEastAsia" w:cstheme="majorBidi"/>
          <w:iCs/>
        </w:rPr>
      </w:pPr>
    </w:p>
    <w:p w:rsidR="00687E72" w:rsidRPr="00392EE2" w:rsidRDefault="00687E72" w:rsidP="00C5550A">
      <w:pPr>
        <w:pStyle w:val="Heading2"/>
      </w:pPr>
      <w:bookmarkStart w:id="22" w:name="_Toc393283596"/>
      <w:r w:rsidRPr="00392EE2">
        <w:lastRenderedPageBreak/>
        <w:t>Interest rate risk in the banking book</w:t>
      </w:r>
      <w:bookmarkEnd w:id="22"/>
    </w:p>
    <w:p w:rsidR="00687E72" w:rsidRPr="00392EE2" w:rsidRDefault="00687E72" w:rsidP="00687E72">
      <w:pPr>
        <w:ind w:left="-4536" w:firstLine="708"/>
        <w:rPr>
          <w:rFonts w:eastAsia="Times New Roman" w:cs="Tahoma"/>
          <w:b/>
          <w:snapToGrid w:val="0"/>
          <w:w w:val="0"/>
        </w:rPr>
      </w:pPr>
    </w:p>
    <w:p w:rsidR="00687E72" w:rsidRPr="00392EE2" w:rsidRDefault="00687E72" w:rsidP="00687E72">
      <w:pPr>
        <w:ind w:left="-4536" w:firstLine="708"/>
        <w:rPr>
          <w:rFonts w:cs="Tahoma"/>
          <w:b/>
          <w:bCs/>
        </w:rPr>
      </w:pPr>
      <w:r w:rsidRPr="00392EE2">
        <w:rPr>
          <w:rFonts w:eastAsia="Times New Roman" w:cs="Tahoma"/>
          <w:b/>
          <w:snapToGrid w:val="0"/>
          <w:w w:val="0"/>
        </w:rPr>
        <w:t>Banks' exposure to interest rate risk in the banking book is small. The high share of adjustable interest rates, i.e. the banks' practice to adjust their interest rates</w:t>
      </w:r>
      <w:r w:rsidRPr="00392EE2">
        <w:rPr>
          <w:rStyle w:val="FootnoteReference"/>
          <w:rFonts w:cs="Tahoma"/>
          <w:b/>
        </w:rPr>
        <w:footnoteReference w:id="36"/>
      </w:r>
      <w:r w:rsidRPr="00392EE2">
        <w:rPr>
          <w:rFonts w:eastAsia="Times New Roman" w:cs="Tahoma"/>
          <w:b/>
          <w:snapToGrid w:val="0"/>
          <w:w w:val="0"/>
        </w:rPr>
        <w:t xml:space="preserve"> in accordance with their business policies are the reason why this risk maintained its moderate and limited impact on the banks' risk profile in 2013. In circumstances where the current legislation in this domain does not contain provisions regarding the use of the clauses for one-sided adjustability of the interest rates in the agreements that banks conclude with their customers, no changes which would cause increased levels of this risk for banks are expected. Banks transfer the risk of possible adverse changes in interest rates on their customers</w:t>
      </w:r>
      <w:r w:rsidRPr="00392EE2">
        <w:rPr>
          <w:rFonts w:cs="Tahoma"/>
          <w:b/>
          <w:bCs/>
        </w:rPr>
        <w:t xml:space="preserve">. </w:t>
      </w:r>
    </w:p>
    <w:p w:rsidR="00687E72" w:rsidRPr="00392EE2" w:rsidRDefault="00687E72" w:rsidP="00687E72">
      <w:pPr>
        <w:autoSpaceDE w:val="0"/>
        <w:autoSpaceDN w:val="0"/>
        <w:adjustRightInd w:val="0"/>
        <w:ind w:firstLine="709"/>
        <w:rPr>
          <w:rFonts w:cs="Tahoma"/>
          <w:b/>
          <w:bCs/>
        </w:rPr>
      </w:pPr>
      <w:bookmarkStart w:id="23" w:name="_Toc303173386"/>
      <w:bookmarkEnd w:id="23"/>
      <w:r w:rsidRPr="00392EE2">
        <w:rPr>
          <w:rFonts w:cs="Tahoma"/>
          <w:b/>
          <w:bCs/>
        </w:rPr>
        <w:t xml:space="preserve"> </w:t>
      </w:r>
    </w:p>
    <w:p w:rsidR="00687E72" w:rsidRPr="00392EE2" w:rsidRDefault="00803610" w:rsidP="00687E72">
      <w:pPr>
        <w:autoSpaceDE w:val="0"/>
        <w:autoSpaceDN w:val="0"/>
        <w:adjustRightInd w:val="0"/>
        <w:ind w:firstLine="450"/>
        <w:rPr>
          <w:rFonts w:cs="Tahoma"/>
          <w:bCs/>
        </w:rPr>
      </w:pPr>
      <w:r>
        <w:rPr>
          <w:rFonts w:cs="Tahoma"/>
          <w:bCs/>
          <w:noProof/>
        </w:rPr>
        <w:pict>
          <v:shape id="_x0000_s1194" type="#_x0000_t202" style="position:absolute;left:0;text-align:left;margin-left:-225.3pt;margin-top:162.9pt;width:214.7pt;height:247.5pt;z-index:25171353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" stroked="f">
            <v:textbox style="mso-next-textbox:#_x0000_s1194">
              <w:txbxContent>
                <w:p w:rsidR="00280598" w:rsidRPr="007E2FB2" w:rsidRDefault="00280598" w:rsidP="00687E72">
                  <w:pPr>
                    <w:rPr>
                      <w:b/>
                      <w:sz w:val="20"/>
                      <w:szCs w:val="20"/>
                    </w:rPr>
                  </w:pPr>
                  <w:r w:rsidRPr="007E2FB2">
                    <w:rPr>
                      <w:b/>
                      <w:sz w:val="20"/>
                      <w:szCs w:val="20"/>
                    </w:rPr>
                    <w:t xml:space="preserve">Chart </w:t>
                  </w:r>
                  <w:r w:rsidR="00803610" w:rsidRPr="007E2FB2">
                    <w:rPr>
                      <w:b/>
                      <w:sz w:val="20"/>
                      <w:szCs w:val="20"/>
                    </w:rPr>
                    <w:fldChar w:fldCharType="begin"/>
                  </w:r>
                  <w:r w:rsidRPr="007E2FB2">
                    <w:rPr>
                      <w:b/>
                      <w:sz w:val="20"/>
                      <w:szCs w:val="20"/>
                    </w:rPr>
                    <w:instrText xml:space="preserve"> SEQ Графикон_бр. \* ARABIC </w:instrText>
                  </w:r>
                  <w:r w:rsidR="00803610" w:rsidRPr="007E2FB2">
                    <w:rPr>
                      <w:b/>
                      <w:sz w:val="20"/>
                      <w:szCs w:val="20"/>
                    </w:rPr>
                    <w:fldChar w:fldCharType="separate"/>
                  </w:r>
                  <w:r>
                    <w:rPr>
                      <w:b/>
                      <w:noProof/>
                      <w:sz w:val="20"/>
                      <w:szCs w:val="20"/>
                    </w:rPr>
                    <w:t>48</w:t>
                  </w:r>
                  <w:r w:rsidR="00803610" w:rsidRPr="007E2FB2">
                    <w:rPr>
                      <w:b/>
                      <w:sz w:val="20"/>
                      <w:szCs w:val="20"/>
                    </w:rPr>
                    <w:fldChar w:fldCharType="end"/>
                  </w:r>
                </w:p>
                <w:p w:rsidR="00280598" w:rsidRPr="00687E72" w:rsidRDefault="00280598" w:rsidP="00687E72">
                  <w:pPr>
                    <w:rPr>
                      <w:b/>
                      <w:sz w:val="20"/>
                      <w:szCs w:val="20"/>
                    </w:rPr>
                  </w:pPr>
                  <w:r w:rsidRPr="00687E72">
                    <w:rPr>
                      <w:b/>
                      <w:bCs/>
                      <w:sz w:val="20"/>
                      <w:szCs w:val="20"/>
                    </w:rPr>
                    <w:t xml:space="preserve">Structure of interest sensitive assets and liabilities, by type of interest rates </w:t>
                  </w:r>
                </w:p>
                <w:p w:rsidR="00280598" w:rsidRPr="006061AF" w:rsidRDefault="00280598" w:rsidP="00687E72">
                  <w:pPr>
                    <w:rPr>
                      <w:sz w:val="18"/>
                      <w:szCs w:val="18"/>
                    </w:rPr>
                  </w:pPr>
                  <w:r w:rsidRPr="006061AF">
                    <w:rPr>
                      <w:sz w:val="18"/>
                      <w:szCs w:val="18"/>
                    </w:rPr>
                    <w:t>in %</w:t>
                  </w:r>
                </w:p>
                <w:p w:rsidR="00280598" w:rsidRPr="000B3C50" w:rsidRDefault="00280598" w:rsidP="00687E72">
                  <w:pPr>
                    <w:rPr>
                      <w:sz w:val="18"/>
                      <w:szCs w:val="18"/>
                      <w:lang w:val="mk-MK"/>
                    </w:rPr>
                  </w:pPr>
                  <w:r w:rsidRPr="00076E16">
                    <w:rPr>
                      <w:noProof/>
                    </w:rPr>
                    <w:drawing>
                      <wp:inline distT="0" distB="0" distL="0" distR="0">
                        <wp:extent cx="2543810" cy="2148379"/>
                        <wp:effectExtent l="0" t="0" r="0" b="0"/>
                        <wp:docPr id="2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0" cy="2148379"/>
                                </a:xfrm>
                                <a:prstGeom prst="rect">
                                  <a:avLst/>
                                </a:prstGeom>
                                <a:noFill/>
                                <a:ln>
                                  <a:noFill/>
                                </a:ln>
                              </pic:spPr>
                            </pic:pic>
                          </a:graphicData>
                        </a:graphic>
                      </wp:inline>
                    </w:drawing>
                  </w:r>
                </w:p>
                <w:p w:rsidR="00280598" w:rsidRPr="003A3FDD" w:rsidRDefault="00280598" w:rsidP="00687E72">
                  <w:pPr>
                    <w:rPr>
                      <w:lang w:val="mk-MK"/>
                    </w:rPr>
                  </w:pPr>
                  <w:r>
                    <w:rPr>
                      <w:sz w:val="18"/>
                      <w:szCs w:val="18"/>
                    </w:rPr>
                    <w:t>Source: NBRM, based on data submitted by banks.</w:t>
                  </w:r>
                </w:p>
                <w:p w:rsidR="00280598" w:rsidRPr="003A3FDD" w:rsidRDefault="00280598" w:rsidP="00687E72">
                  <w:pPr>
                    <w:rPr>
                      <w:lang w:val="mk-MK"/>
                    </w:rPr>
                  </w:pPr>
                </w:p>
                <w:p w:rsidR="00280598" w:rsidRDefault="00280598" w:rsidP="00687E72">
                  <w:pPr>
                    <w:pStyle w:val="Caption"/>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Pr="008476D5" w:rsidRDefault="00280598" w:rsidP="00687E72">
                  <w:pPr>
                    <w:rPr>
                      <w:sz w:val="20"/>
                      <w:szCs w:val="20"/>
                      <w:lang w:val="mk-MK"/>
                    </w:rPr>
                  </w:pPr>
                  <w:r w:rsidRPr="008476D5">
                    <w:rPr>
                      <w:sz w:val="20"/>
                      <w:szCs w:val="20"/>
                      <w:lang w:val="mk-MK"/>
                    </w:rPr>
                    <w:t>Извор:</w:t>
                  </w:r>
                </w:p>
              </w:txbxContent>
            </v:textbox>
            <w10:wrap type="square" anchorx="margin" anchory="margin"/>
          </v:shape>
        </w:pict>
      </w:r>
      <w:r w:rsidR="00687E72" w:rsidRPr="00392EE2">
        <w:rPr>
          <w:rFonts w:cs="Tahoma"/>
          <w:bCs/>
        </w:rPr>
        <w:t>The share of positions with fixed interest rates (which amounted to 47.5% as of December 31, 2013) in the structure of interest-sensitive assets increased, whereby they further increased above the positions with adjustable interest rate, whose share accounted for 43.5%. This is due to the increase in the loans with fixed interest rate, and the more substantial increase in the banks' investments in government securities, which are with fixed interest rate. Fixed interest rates are prevailing in most items of the interest-sensitive assets: reserve requirement (100%), placements in securities (98.7%) and placements in deposits (95.1%). Despite the increase in the positions with fixed interest rate, with loans, as predominant financial instruments in the structure of interest-sensitive assets, adjustable interest rates still prevail. Loans with adjustable interest rate account for 68.6% of total loans, representing the entire assets with adjustable interest rates</w:t>
      </w:r>
      <w:r w:rsidR="00687E72" w:rsidRPr="00392EE2">
        <w:rPr>
          <w:rStyle w:val="FootnoteReference"/>
          <w:rFonts w:cs="Tahoma"/>
          <w:lang w:eastAsia="mk-MK"/>
        </w:rPr>
        <w:footnoteReference w:id="37"/>
      </w:r>
      <w:r w:rsidR="00687E72" w:rsidRPr="00392EE2">
        <w:rPr>
          <w:rFonts w:cs="Tahoma"/>
          <w:bCs/>
        </w:rPr>
        <w:t>. In this way, in the event of upward adjustments in interest rates on loans, the interest rate risk would be transferred to the banks' customers and would be transformed into credit risk. However, in circumstances of determined ceiling on the interest rate</w:t>
      </w:r>
      <w:r w:rsidR="00687E72" w:rsidRPr="00392EE2">
        <w:rPr>
          <w:rStyle w:val="FootnoteReference"/>
          <w:rFonts w:cs="Tahoma"/>
        </w:rPr>
        <w:footnoteReference w:id="38"/>
      </w:r>
      <w:r w:rsidR="00687E72" w:rsidRPr="00392EE2">
        <w:rPr>
          <w:rFonts w:cs="Tahoma"/>
          <w:bCs/>
        </w:rPr>
        <w:t xml:space="preserve">, reduced </w:t>
      </w:r>
      <w:r w:rsidR="00687E72" w:rsidRPr="00392EE2">
        <w:rPr>
          <w:rFonts w:cs="Tahoma"/>
          <w:bCs/>
        </w:rPr>
        <w:lastRenderedPageBreak/>
        <w:t>interest rate of the CB bills and competition among banks, a significant increase in the interest rates should not be expected.</w:t>
      </w:r>
    </w:p>
    <w:p w:rsidR="00687E72" w:rsidRPr="00392EE2" w:rsidRDefault="00803610" w:rsidP="00687E72">
      <w:pPr>
        <w:autoSpaceDE w:val="0"/>
        <w:autoSpaceDN w:val="0"/>
        <w:adjustRightInd w:val="0"/>
        <w:ind w:firstLine="709"/>
        <w:rPr>
          <w:rFonts w:cs="Tahoma"/>
          <w:bCs/>
        </w:rPr>
      </w:pPr>
      <w:r>
        <w:rPr>
          <w:rFonts w:cs="Tahoma"/>
          <w:bCs/>
          <w:noProof/>
        </w:rPr>
        <w:pict>
          <v:shape id="_x0000_s1195" type="#_x0000_t202" style="position:absolute;left:0;text-align:left;margin-left:-223.95pt;margin-top:1.65pt;width:214.7pt;height:342pt;z-index:25171456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" stroked="f">
            <v:textbox style="mso-next-textbox:#_x0000_s1195">
              <w:txbxContent>
                <w:p w:rsidR="00280598" w:rsidRPr="007E2FB2" w:rsidRDefault="00280598" w:rsidP="007E2FB2">
                  <w:pPr>
                    <w:rPr>
                      <w:b/>
                      <w:sz w:val="20"/>
                      <w:szCs w:val="20"/>
                    </w:rPr>
                  </w:pPr>
                  <w:r w:rsidRPr="007E2FB2">
                    <w:rPr>
                      <w:b/>
                      <w:sz w:val="20"/>
                      <w:szCs w:val="20"/>
                    </w:rPr>
                    <w:t xml:space="preserve">Chart </w:t>
                  </w:r>
                  <w:r w:rsidR="00803610" w:rsidRPr="007E2FB2">
                    <w:rPr>
                      <w:b/>
                      <w:sz w:val="20"/>
                      <w:szCs w:val="20"/>
                    </w:rPr>
                    <w:fldChar w:fldCharType="begin"/>
                  </w:r>
                  <w:r w:rsidRPr="007E2FB2">
                    <w:rPr>
                      <w:b/>
                      <w:sz w:val="20"/>
                      <w:szCs w:val="20"/>
                    </w:rPr>
                    <w:instrText xml:space="preserve"> SEQ Графикон_бр. \* ARABIC </w:instrText>
                  </w:r>
                  <w:r w:rsidR="00803610" w:rsidRPr="007E2FB2">
                    <w:rPr>
                      <w:b/>
                      <w:sz w:val="20"/>
                      <w:szCs w:val="20"/>
                    </w:rPr>
                    <w:fldChar w:fldCharType="separate"/>
                  </w:r>
                  <w:r>
                    <w:rPr>
                      <w:b/>
                      <w:noProof/>
                      <w:sz w:val="20"/>
                      <w:szCs w:val="20"/>
                    </w:rPr>
                    <w:t>49</w:t>
                  </w:r>
                  <w:r w:rsidR="00803610" w:rsidRPr="007E2FB2">
                    <w:rPr>
                      <w:b/>
                      <w:sz w:val="20"/>
                      <w:szCs w:val="20"/>
                    </w:rPr>
                    <w:fldChar w:fldCharType="end"/>
                  </w:r>
                </w:p>
                <w:p w:rsidR="00280598" w:rsidRPr="00687E72" w:rsidRDefault="00280598" w:rsidP="00687E72">
                  <w:pPr>
                    <w:rPr>
                      <w:b/>
                      <w:sz w:val="20"/>
                      <w:szCs w:val="20"/>
                    </w:rPr>
                  </w:pPr>
                  <w:r w:rsidRPr="00687E72">
                    <w:rPr>
                      <w:b/>
                      <w:bCs/>
                      <w:sz w:val="20"/>
                      <w:szCs w:val="20"/>
                    </w:rPr>
                    <w:t xml:space="preserve">Interest sensitive assets (up) and liabilities (down), by type of interest rates </w:t>
                  </w:r>
                </w:p>
                <w:p w:rsidR="00280598" w:rsidRPr="006061AF" w:rsidRDefault="00280598" w:rsidP="00687E72">
                  <w:pPr>
                    <w:rPr>
                      <w:sz w:val="18"/>
                      <w:szCs w:val="18"/>
                    </w:rPr>
                  </w:pPr>
                  <w:r w:rsidRPr="006061AF">
                    <w:rPr>
                      <w:sz w:val="18"/>
                      <w:szCs w:val="18"/>
                    </w:rPr>
                    <w:t>in %</w:t>
                  </w:r>
                </w:p>
                <w:p w:rsidR="00280598" w:rsidRPr="000B3C50" w:rsidRDefault="00280598" w:rsidP="00687E72">
                  <w:pPr>
                    <w:rPr>
                      <w:sz w:val="18"/>
                      <w:szCs w:val="18"/>
                      <w:lang w:val="mk-MK"/>
                    </w:rPr>
                  </w:pPr>
                  <w:r w:rsidRPr="00076E16">
                    <w:rPr>
                      <w:noProof/>
                    </w:rPr>
                    <w:drawing>
                      <wp:inline distT="0" distB="0" distL="0" distR="0">
                        <wp:extent cx="2544417" cy="324413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0" cy="3243359"/>
                                </a:xfrm>
                                <a:prstGeom prst="rect">
                                  <a:avLst/>
                                </a:prstGeom>
                                <a:noFill/>
                                <a:ln>
                                  <a:noFill/>
                                </a:ln>
                              </pic:spPr>
                            </pic:pic>
                          </a:graphicData>
                        </a:graphic>
                      </wp:inline>
                    </w:drawing>
                  </w:r>
                </w:p>
                <w:p w:rsidR="00280598" w:rsidRPr="003A3FDD" w:rsidRDefault="00280598" w:rsidP="00687E72">
                  <w:pPr>
                    <w:rPr>
                      <w:lang w:val="mk-MK"/>
                    </w:rPr>
                  </w:pPr>
                  <w:r>
                    <w:rPr>
                      <w:sz w:val="18"/>
                      <w:szCs w:val="18"/>
                    </w:rPr>
                    <w:t>Source: NBRM, based on data submitted by banks.</w:t>
                  </w:r>
                </w:p>
                <w:p w:rsidR="00280598" w:rsidRPr="003A3FDD" w:rsidRDefault="00280598" w:rsidP="00687E72">
                  <w:pPr>
                    <w:rPr>
                      <w:lang w:val="mk-MK"/>
                    </w:rPr>
                  </w:pPr>
                </w:p>
                <w:p w:rsidR="00280598" w:rsidRDefault="00280598" w:rsidP="00687E72">
                  <w:pPr>
                    <w:pStyle w:val="Caption"/>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Default="00280598" w:rsidP="00687E72">
                  <w:pPr>
                    <w:rPr>
                      <w:lang w:val="mk-MK"/>
                    </w:rPr>
                  </w:pPr>
                </w:p>
                <w:p w:rsidR="00280598" w:rsidRPr="008476D5" w:rsidRDefault="00280598" w:rsidP="00687E72">
                  <w:pPr>
                    <w:rPr>
                      <w:sz w:val="20"/>
                      <w:szCs w:val="20"/>
                      <w:lang w:val="mk-MK"/>
                    </w:rPr>
                  </w:pPr>
                  <w:r w:rsidRPr="008476D5">
                    <w:rPr>
                      <w:sz w:val="20"/>
                      <w:szCs w:val="20"/>
                      <w:lang w:val="mk-MK"/>
                    </w:rPr>
                    <w:t>Извор:</w:t>
                  </w:r>
                </w:p>
              </w:txbxContent>
            </v:textbox>
            <w10:wrap type="square" anchorx="margin" anchory="margin"/>
          </v:shape>
        </w:pict>
      </w:r>
    </w:p>
    <w:p w:rsidR="00687E72" w:rsidRPr="00392EE2" w:rsidRDefault="00687E72" w:rsidP="00687E72">
      <w:pPr>
        <w:autoSpaceDE w:val="0"/>
        <w:autoSpaceDN w:val="0"/>
        <w:adjustRightInd w:val="0"/>
        <w:ind w:firstLine="450"/>
        <w:rPr>
          <w:rFonts w:cs="Tahoma"/>
          <w:bCs/>
        </w:rPr>
      </w:pPr>
      <w:r w:rsidRPr="00392EE2">
        <w:rPr>
          <w:rFonts w:cs="Tahoma"/>
          <w:bCs/>
        </w:rPr>
        <w:t>Interest-sensitive liabilities are more diversified according to the presence of the individual types of interest rates. Sight deposits are entirely with adjustable interest rates (100%), and these rates have the predominant share (67.0%) also in the most common financial instrument in the interest-sensitive liabilities - term deposits</w:t>
      </w:r>
      <w:r w:rsidRPr="00392EE2">
        <w:rPr>
          <w:rStyle w:val="FootnoteReference"/>
          <w:rFonts w:cs="Tahoma"/>
          <w:lang w:eastAsia="mk-MK"/>
        </w:rPr>
        <w:footnoteReference w:id="39"/>
      </w:r>
      <w:r w:rsidRPr="00392EE2">
        <w:rPr>
          <w:rFonts w:cs="Tahoma"/>
          <w:bCs/>
        </w:rPr>
        <w:t>. On the other hand, in the liabilities based on loans and other liabilities (subordinated instruments), positions with fixed interest rates have the most significant share (68.2%).</w:t>
      </w:r>
    </w:p>
    <w:p w:rsidR="00687E72" w:rsidRPr="00392EE2" w:rsidRDefault="00687E72" w:rsidP="00687E72">
      <w:pPr>
        <w:autoSpaceDE w:val="0"/>
        <w:autoSpaceDN w:val="0"/>
        <w:adjustRightInd w:val="0"/>
        <w:ind w:firstLine="709"/>
        <w:rPr>
          <w:rFonts w:cs="Tahoma"/>
          <w:bCs/>
        </w:rPr>
      </w:pPr>
    </w:p>
    <w:p w:rsidR="00687E72" w:rsidRPr="00392EE2" w:rsidRDefault="00687E72" w:rsidP="00687E72">
      <w:pPr>
        <w:autoSpaceDE w:val="0"/>
        <w:autoSpaceDN w:val="0"/>
        <w:adjustRightInd w:val="0"/>
        <w:ind w:firstLine="450"/>
        <w:rPr>
          <w:rFonts w:cs="Tahoma"/>
          <w:bCs/>
        </w:rPr>
      </w:pPr>
      <w:r w:rsidRPr="00392EE2">
        <w:rPr>
          <w:rFonts w:cs="Tahoma"/>
          <w:bCs/>
        </w:rPr>
        <w:t>The gap between interest-sensitive assets and liabilities is positive in the positions with fixed and variable interest rate</w:t>
      </w:r>
      <w:r w:rsidRPr="00392EE2">
        <w:rPr>
          <w:rStyle w:val="FootnoteReference"/>
          <w:rFonts w:cs="Tahoma"/>
          <w:bCs/>
          <w:lang w:eastAsia="mk-MK"/>
        </w:rPr>
        <w:footnoteReference w:id="40"/>
      </w:r>
      <w:r w:rsidRPr="00392EE2">
        <w:rPr>
          <w:rFonts w:cs="Tahoma"/>
          <w:bCs/>
        </w:rPr>
        <w:t xml:space="preserve"> and negative in the positions with adjustable interest rate</w:t>
      </w:r>
      <w:r w:rsidRPr="00392EE2">
        <w:rPr>
          <w:rStyle w:val="FootnoteReference"/>
          <w:rFonts w:cs="Tahoma"/>
          <w:lang w:eastAsia="mk-MK"/>
        </w:rPr>
        <w:footnoteReference w:id="41"/>
      </w:r>
      <w:r w:rsidRPr="00392EE2">
        <w:rPr>
          <w:rFonts w:cs="Tahoma"/>
          <w:bCs/>
        </w:rPr>
        <w:t xml:space="preserve">. In 2013, the gap in the positions with fixed interest rates widened, due to the more substantial increase in the loans and investments in government securities on the asset side, compared with the increase in the liabilities based on loans on the liabilities side. The gap between the positions with adjustable interest rates is also remarkably widened, mainly due to the more substantial increase in time deposits and sight liabilities on the liabilities side, as opposed to the growth of loans on the assets side. The gap narrowed only in the positions with variable interest rates. Positive gaps between interest-sensitive assets and liabilities of the banking system represent an exposure to a risk of upward (with fixed interest rates) or downward (with variable interest rates) </w:t>
      </w:r>
      <w:r w:rsidRPr="00392EE2">
        <w:rPr>
          <w:rFonts w:cs="Tahoma"/>
          <w:bCs/>
        </w:rPr>
        <w:lastRenderedPageBreak/>
        <w:t>changes in interest rates. However, the use of adjustable interest rates is a relatively efficient tool of banks for protection against this risk.</w:t>
      </w:r>
    </w:p>
    <w:p w:rsidR="00687E72" w:rsidRPr="00392EE2" w:rsidRDefault="00803610" w:rsidP="00687E72">
      <w:pPr>
        <w:autoSpaceDE w:val="0"/>
        <w:autoSpaceDN w:val="0"/>
        <w:adjustRightInd w:val="0"/>
        <w:ind w:firstLine="709"/>
        <w:rPr>
          <w:rFonts w:cs="Tahoma"/>
          <w:bCs/>
        </w:rPr>
      </w:pPr>
      <w:r>
        <w:rPr>
          <w:rFonts w:cs="Tahoma"/>
          <w:bCs/>
          <w:noProof/>
        </w:rPr>
        <w:pict>
          <v:shape id="_x0000_s1196" type="#_x0000_t202" style="position:absolute;left:0;text-align:left;margin-left:-224.65pt;margin-top:-6.6pt;width:214.7pt;height:239.25pt;z-index:25171558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" stroked="f">
            <v:textbox style="mso-next-textbox:#_x0000_s1196">
              <w:txbxContent>
                <w:p w:rsidR="00280598" w:rsidRPr="007E2FB2" w:rsidRDefault="00280598" w:rsidP="007E2FB2">
                  <w:pPr>
                    <w:rPr>
                      <w:b/>
                      <w:sz w:val="20"/>
                      <w:szCs w:val="20"/>
                    </w:rPr>
                  </w:pPr>
                  <w:r w:rsidRPr="007E2FB2">
                    <w:rPr>
                      <w:b/>
                      <w:sz w:val="20"/>
                      <w:szCs w:val="20"/>
                    </w:rPr>
                    <w:t xml:space="preserve">Chart </w:t>
                  </w:r>
                  <w:r w:rsidR="00803610" w:rsidRPr="007E2FB2">
                    <w:rPr>
                      <w:b/>
                      <w:sz w:val="20"/>
                      <w:szCs w:val="20"/>
                    </w:rPr>
                    <w:fldChar w:fldCharType="begin"/>
                  </w:r>
                  <w:r w:rsidRPr="007E2FB2">
                    <w:rPr>
                      <w:b/>
                      <w:sz w:val="20"/>
                      <w:szCs w:val="20"/>
                    </w:rPr>
                    <w:instrText xml:space="preserve"> SEQ Графикон_бр. \* ARABIC </w:instrText>
                  </w:r>
                  <w:r w:rsidR="00803610" w:rsidRPr="007E2FB2">
                    <w:rPr>
                      <w:b/>
                      <w:sz w:val="20"/>
                      <w:szCs w:val="20"/>
                    </w:rPr>
                    <w:fldChar w:fldCharType="separate"/>
                  </w:r>
                  <w:r>
                    <w:rPr>
                      <w:b/>
                      <w:noProof/>
                      <w:sz w:val="20"/>
                      <w:szCs w:val="20"/>
                    </w:rPr>
                    <w:t>50</w:t>
                  </w:r>
                  <w:r w:rsidR="00803610" w:rsidRPr="007E2FB2">
                    <w:rPr>
                      <w:b/>
                      <w:sz w:val="20"/>
                      <w:szCs w:val="20"/>
                    </w:rPr>
                    <w:fldChar w:fldCharType="end"/>
                  </w:r>
                </w:p>
                <w:p w:rsidR="00280598" w:rsidRPr="00687E72" w:rsidRDefault="00280598" w:rsidP="00687E72">
                  <w:pPr>
                    <w:tabs>
                      <w:tab w:val="left" w:pos="90"/>
                    </w:tabs>
                    <w:rPr>
                      <w:rFonts w:cs="Tahoma"/>
                      <w:b/>
                      <w:bCs/>
                      <w:sz w:val="20"/>
                      <w:szCs w:val="20"/>
                    </w:rPr>
                  </w:pPr>
                  <w:r w:rsidRPr="00687E72">
                    <w:rPr>
                      <w:rFonts w:cs="Tahoma"/>
                      <w:b/>
                      <w:bCs/>
                      <w:sz w:val="20"/>
                      <w:szCs w:val="20"/>
                    </w:rPr>
                    <w:t xml:space="preserve">Interest sensitive assets and liabilities, by maturity and type of interest rate </w:t>
                  </w:r>
                </w:p>
                <w:p w:rsidR="00280598" w:rsidRPr="006061AF" w:rsidRDefault="00280598" w:rsidP="00687E72">
                  <w:pPr>
                    <w:tabs>
                      <w:tab w:val="left" w:pos="90"/>
                    </w:tabs>
                    <w:rPr>
                      <w:sz w:val="18"/>
                      <w:szCs w:val="18"/>
                    </w:rPr>
                  </w:pPr>
                  <w:r w:rsidRPr="006061AF">
                    <w:rPr>
                      <w:sz w:val="18"/>
                      <w:szCs w:val="18"/>
                    </w:rPr>
                    <w:t>in millions of denars</w:t>
                  </w:r>
                </w:p>
                <w:p w:rsidR="00280598" w:rsidRPr="000B3C50" w:rsidRDefault="00280598" w:rsidP="00687E72">
                  <w:pPr>
                    <w:tabs>
                      <w:tab w:val="left" w:pos="90"/>
                    </w:tabs>
                    <w:rPr>
                      <w:sz w:val="18"/>
                      <w:szCs w:val="18"/>
                      <w:lang w:val="mk-MK"/>
                    </w:rPr>
                  </w:pPr>
                  <w:r w:rsidRPr="00076E16">
                    <w:rPr>
                      <w:noProof/>
                    </w:rPr>
                    <w:drawing>
                      <wp:inline distT="0" distB="0" distL="0" distR="0">
                        <wp:extent cx="2540793" cy="2067339"/>
                        <wp:effectExtent l="0" t="0" r="0" b="0"/>
                        <wp:docPr id="3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0" cy="2069794"/>
                                </a:xfrm>
                                <a:prstGeom prst="rect">
                                  <a:avLst/>
                                </a:prstGeom>
                                <a:noFill/>
                                <a:ln>
                                  <a:noFill/>
                                </a:ln>
                              </pic:spPr>
                            </pic:pic>
                          </a:graphicData>
                        </a:graphic>
                      </wp:inline>
                    </w:drawing>
                  </w:r>
                </w:p>
                <w:p w:rsidR="00280598" w:rsidRPr="003A3FDD" w:rsidRDefault="00280598" w:rsidP="00687E72">
                  <w:pPr>
                    <w:tabs>
                      <w:tab w:val="left" w:pos="90"/>
                    </w:tabs>
                    <w:rPr>
                      <w:lang w:val="mk-MK"/>
                    </w:rPr>
                  </w:pPr>
                  <w:r>
                    <w:rPr>
                      <w:sz w:val="18"/>
                      <w:szCs w:val="18"/>
                    </w:rPr>
                    <w:t>Source: NBRM, based on data submitted by banks.</w:t>
                  </w:r>
                </w:p>
                <w:p w:rsidR="00280598" w:rsidRPr="003A3FDD" w:rsidRDefault="00280598" w:rsidP="00687E72">
                  <w:pPr>
                    <w:tabs>
                      <w:tab w:val="left" w:pos="90"/>
                    </w:tabs>
                    <w:rPr>
                      <w:lang w:val="mk-MK"/>
                    </w:rPr>
                  </w:pPr>
                </w:p>
                <w:p w:rsidR="00280598" w:rsidRDefault="00280598" w:rsidP="00687E72">
                  <w:pPr>
                    <w:pStyle w:val="Caption"/>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Pr="008476D5" w:rsidRDefault="00280598" w:rsidP="00687E72">
                  <w:pPr>
                    <w:tabs>
                      <w:tab w:val="left" w:pos="90"/>
                    </w:tabs>
                    <w:rPr>
                      <w:sz w:val="20"/>
                      <w:szCs w:val="20"/>
                      <w:lang w:val="mk-MK"/>
                    </w:rPr>
                  </w:pPr>
                  <w:r w:rsidRPr="008476D5">
                    <w:rPr>
                      <w:sz w:val="20"/>
                      <w:szCs w:val="20"/>
                      <w:lang w:val="mk-MK"/>
                    </w:rPr>
                    <w:t>Извор:</w:t>
                  </w:r>
                </w:p>
              </w:txbxContent>
            </v:textbox>
            <w10:wrap type="square" anchorx="margin" anchory="margin"/>
          </v:shape>
        </w:pict>
      </w:r>
    </w:p>
    <w:p w:rsidR="00687E72" w:rsidRPr="00392EE2" w:rsidRDefault="00803610" w:rsidP="00687E72">
      <w:pPr>
        <w:autoSpaceDE w:val="0"/>
        <w:autoSpaceDN w:val="0"/>
        <w:adjustRightInd w:val="0"/>
        <w:ind w:firstLine="360"/>
        <w:rPr>
          <w:rFonts w:cs="Tahoma"/>
          <w:bCs/>
        </w:rPr>
      </w:pPr>
      <w:r>
        <w:rPr>
          <w:rFonts w:cs="Tahoma"/>
          <w:bCs/>
          <w:noProof/>
        </w:rPr>
        <w:pict>
          <v:shape id="_x0000_s1197" type="#_x0000_t202" style="position:absolute;left:0;text-align:left;margin-left:-224.65pt;margin-top:232.65pt;width:214.7pt;height:233.25pt;z-index:25171660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" stroked="f">
            <v:textbox style="mso-next-textbox:#_x0000_s1197">
              <w:txbxContent>
                <w:p w:rsidR="00280598" w:rsidRPr="007E2FB2" w:rsidRDefault="00280598" w:rsidP="007E2FB2">
                  <w:pPr>
                    <w:rPr>
                      <w:b/>
                      <w:sz w:val="20"/>
                      <w:szCs w:val="20"/>
                    </w:rPr>
                  </w:pPr>
                  <w:r w:rsidRPr="007E2FB2">
                    <w:rPr>
                      <w:b/>
                      <w:sz w:val="20"/>
                      <w:szCs w:val="20"/>
                    </w:rPr>
                    <w:t xml:space="preserve">Chart </w:t>
                  </w:r>
                  <w:r w:rsidR="00803610" w:rsidRPr="007E2FB2">
                    <w:rPr>
                      <w:b/>
                      <w:sz w:val="20"/>
                      <w:szCs w:val="20"/>
                    </w:rPr>
                    <w:fldChar w:fldCharType="begin"/>
                  </w:r>
                  <w:r w:rsidRPr="007E2FB2">
                    <w:rPr>
                      <w:b/>
                      <w:sz w:val="20"/>
                      <w:szCs w:val="20"/>
                    </w:rPr>
                    <w:instrText xml:space="preserve"> SEQ Графикон_бр. \* ARABIC </w:instrText>
                  </w:r>
                  <w:r w:rsidR="00803610" w:rsidRPr="007E2FB2">
                    <w:rPr>
                      <w:b/>
                      <w:sz w:val="20"/>
                      <w:szCs w:val="20"/>
                    </w:rPr>
                    <w:fldChar w:fldCharType="separate"/>
                  </w:r>
                  <w:r>
                    <w:rPr>
                      <w:b/>
                      <w:noProof/>
                      <w:sz w:val="20"/>
                      <w:szCs w:val="20"/>
                    </w:rPr>
                    <w:t>51</w:t>
                  </w:r>
                  <w:r w:rsidR="00803610" w:rsidRPr="007E2FB2">
                    <w:rPr>
                      <w:b/>
                      <w:sz w:val="20"/>
                      <w:szCs w:val="20"/>
                    </w:rPr>
                    <w:fldChar w:fldCharType="end"/>
                  </w:r>
                </w:p>
                <w:p w:rsidR="00280598" w:rsidRPr="00687E72" w:rsidRDefault="00280598" w:rsidP="00687E72">
                  <w:pPr>
                    <w:tabs>
                      <w:tab w:val="left" w:pos="90"/>
                    </w:tabs>
                    <w:rPr>
                      <w:rFonts w:cs="Tahoma"/>
                      <w:b/>
                      <w:bCs/>
                      <w:sz w:val="20"/>
                      <w:szCs w:val="20"/>
                    </w:rPr>
                  </w:pPr>
                  <w:r w:rsidRPr="00687E72">
                    <w:rPr>
                      <w:b/>
                      <w:bCs/>
                      <w:sz w:val="20"/>
                      <w:szCs w:val="20"/>
                    </w:rPr>
                    <w:t>Gap between interest sensitive assets and liabilities, by type of interest rate</w:t>
                  </w:r>
                </w:p>
                <w:p w:rsidR="00280598" w:rsidRPr="006061AF" w:rsidRDefault="00280598" w:rsidP="00687E72">
                  <w:pPr>
                    <w:tabs>
                      <w:tab w:val="left" w:pos="90"/>
                    </w:tabs>
                    <w:rPr>
                      <w:sz w:val="18"/>
                      <w:szCs w:val="18"/>
                    </w:rPr>
                  </w:pPr>
                  <w:r w:rsidRPr="006061AF">
                    <w:rPr>
                      <w:sz w:val="18"/>
                      <w:szCs w:val="18"/>
                    </w:rPr>
                    <w:t>in millions of denars</w:t>
                  </w:r>
                </w:p>
                <w:p w:rsidR="00280598" w:rsidRPr="000B3C50" w:rsidRDefault="00280598" w:rsidP="00687E72">
                  <w:pPr>
                    <w:tabs>
                      <w:tab w:val="left" w:pos="90"/>
                    </w:tabs>
                    <w:rPr>
                      <w:sz w:val="18"/>
                      <w:szCs w:val="18"/>
                      <w:lang w:val="mk-MK"/>
                    </w:rPr>
                  </w:pPr>
                  <w:r w:rsidRPr="00076E16">
                    <w:rPr>
                      <w:noProof/>
                    </w:rPr>
                    <w:drawing>
                      <wp:inline distT="0" distB="0" distL="0" distR="0">
                        <wp:extent cx="2543810" cy="1984570"/>
                        <wp:effectExtent l="0" t="0" r="0" b="0"/>
                        <wp:docPr id="3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0" cy="1984570"/>
                                </a:xfrm>
                                <a:prstGeom prst="rect">
                                  <a:avLst/>
                                </a:prstGeom>
                                <a:noFill/>
                                <a:ln>
                                  <a:noFill/>
                                </a:ln>
                              </pic:spPr>
                            </pic:pic>
                          </a:graphicData>
                        </a:graphic>
                      </wp:inline>
                    </w:drawing>
                  </w:r>
                </w:p>
                <w:p w:rsidR="00280598" w:rsidRPr="003A3FDD" w:rsidRDefault="00280598" w:rsidP="00687E72">
                  <w:pPr>
                    <w:tabs>
                      <w:tab w:val="left" w:pos="90"/>
                    </w:tabs>
                    <w:rPr>
                      <w:lang w:val="mk-MK"/>
                    </w:rPr>
                  </w:pPr>
                  <w:r>
                    <w:rPr>
                      <w:sz w:val="18"/>
                      <w:szCs w:val="18"/>
                    </w:rPr>
                    <w:t>Source: NBRM, based on data submitted by banks.</w:t>
                  </w:r>
                </w:p>
                <w:p w:rsidR="00280598" w:rsidRPr="003A3FDD" w:rsidRDefault="00280598" w:rsidP="00687E72">
                  <w:pPr>
                    <w:tabs>
                      <w:tab w:val="left" w:pos="90"/>
                    </w:tabs>
                    <w:rPr>
                      <w:lang w:val="mk-MK"/>
                    </w:rPr>
                  </w:pPr>
                </w:p>
                <w:p w:rsidR="00280598" w:rsidRDefault="00280598" w:rsidP="00687E72">
                  <w:pPr>
                    <w:pStyle w:val="Caption"/>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Pr="008476D5" w:rsidRDefault="00280598" w:rsidP="00687E72">
                  <w:pPr>
                    <w:tabs>
                      <w:tab w:val="left" w:pos="90"/>
                    </w:tabs>
                    <w:rPr>
                      <w:sz w:val="20"/>
                      <w:szCs w:val="20"/>
                      <w:lang w:val="mk-MK"/>
                    </w:rPr>
                  </w:pPr>
                  <w:r w:rsidRPr="008476D5">
                    <w:rPr>
                      <w:sz w:val="20"/>
                      <w:szCs w:val="20"/>
                      <w:lang w:val="mk-MK"/>
                    </w:rPr>
                    <w:t>Извор:</w:t>
                  </w:r>
                </w:p>
              </w:txbxContent>
            </v:textbox>
            <w10:wrap type="square" anchorx="margin" anchory="margin"/>
          </v:shape>
        </w:pict>
      </w:r>
      <w:r w:rsidR="00687E72" w:rsidRPr="00392EE2">
        <w:rPr>
          <w:rFonts w:cs="Tahoma"/>
          <w:bCs/>
        </w:rPr>
        <w:t>Adjustable interest rates take the lead in most maturity segments of interest-sensitive assets and liabilities, with the most pronounced share in interest-sensitive liabilities with shorter maturities, due to the sight deposits. Banks' exposure to the interest rate risk is the largest in the three to six months maturity segment (due to unequal presence of the positions with adjustable interest rates: the amount of loans on the assets side is greater than the amount of term deposits on the liabilities side, in this maturity segment). In the other maturity segments, there is a higher degree of equilibrium between total interest-sensitive assets and liabilities. However, the use of the adjustable interest rates in most of the asset and liabilities items provides an opportunity for banks to avoid the effects of possible adverse changes in interest rates, and thus to avoid the direct interest rate risk. Banks' expectations for the period until the next "adjustment" of the level of interest rates, represented by the maturity structure of the positions with adjustable interest rates, are from three to six months for assets with adjustable interest rates and up to one month for liabilities with adjustable interest rates</w:t>
      </w:r>
      <w:r w:rsidR="00687E72" w:rsidRPr="00392EE2">
        <w:rPr>
          <w:rFonts w:cs="Tahoma"/>
        </w:rPr>
        <w:t>.</w:t>
      </w:r>
      <w:r w:rsidR="00687E72" w:rsidRPr="00392EE2">
        <w:rPr>
          <w:rFonts w:cs="Tahoma"/>
          <w:bCs/>
        </w:rPr>
        <w:t xml:space="preserve"> </w:t>
      </w:r>
    </w:p>
    <w:p w:rsidR="00687E72" w:rsidRDefault="00687E72" w:rsidP="00687E72">
      <w:pPr>
        <w:autoSpaceDE w:val="0"/>
        <w:autoSpaceDN w:val="0"/>
        <w:adjustRightInd w:val="0"/>
        <w:ind w:firstLine="709"/>
        <w:rPr>
          <w:rFonts w:cs="Tahoma"/>
        </w:rPr>
      </w:pPr>
    </w:p>
    <w:p w:rsidR="007E2FB2" w:rsidRDefault="007E2FB2" w:rsidP="00687E72">
      <w:pPr>
        <w:autoSpaceDE w:val="0"/>
        <w:autoSpaceDN w:val="0"/>
        <w:adjustRightInd w:val="0"/>
        <w:ind w:firstLine="709"/>
        <w:rPr>
          <w:rFonts w:cs="Tahoma"/>
        </w:rPr>
      </w:pPr>
    </w:p>
    <w:p w:rsidR="007E2FB2" w:rsidRDefault="007E2FB2" w:rsidP="00687E72">
      <w:pPr>
        <w:autoSpaceDE w:val="0"/>
        <w:autoSpaceDN w:val="0"/>
        <w:adjustRightInd w:val="0"/>
        <w:ind w:firstLine="709"/>
        <w:rPr>
          <w:rFonts w:cs="Tahoma"/>
        </w:rPr>
      </w:pPr>
    </w:p>
    <w:p w:rsidR="007E2FB2" w:rsidRDefault="007E2FB2" w:rsidP="00687E72">
      <w:pPr>
        <w:autoSpaceDE w:val="0"/>
        <w:autoSpaceDN w:val="0"/>
        <w:adjustRightInd w:val="0"/>
        <w:ind w:firstLine="709"/>
        <w:rPr>
          <w:rFonts w:cs="Tahoma"/>
        </w:rPr>
      </w:pPr>
    </w:p>
    <w:p w:rsidR="007E2FB2" w:rsidRDefault="007E2FB2" w:rsidP="00687E72">
      <w:pPr>
        <w:autoSpaceDE w:val="0"/>
        <w:autoSpaceDN w:val="0"/>
        <w:adjustRightInd w:val="0"/>
        <w:ind w:firstLine="709"/>
        <w:rPr>
          <w:rFonts w:cs="Tahoma"/>
        </w:rPr>
      </w:pPr>
    </w:p>
    <w:p w:rsidR="007E2FB2" w:rsidRDefault="007E2FB2" w:rsidP="00687E72">
      <w:pPr>
        <w:autoSpaceDE w:val="0"/>
        <w:autoSpaceDN w:val="0"/>
        <w:adjustRightInd w:val="0"/>
        <w:ind w:firstLine="709"/>
        <w:rPr>
          <w:rFonts w:cs="Tahoma"/>
        </w:rPr>
      </w:pPr>
    </w:p>
    <w:p w:rsidR="007E2FB2" w:rsidRDefault="007E2FB2" w:rsidP="00687E72">
      <w:pPr>
        <w:autoSpaceDE w:val="0"/>
        <w:autoSpaceDN w:val="0"/>
        <w:adjustRightInd w:val="0"/>
        <w:ind w:firstLine="709"/>
        <w:rPr>
          <w:rFonts w:cs="Tahoma"/>
        </w:rPr>
      </w:pPr>
    </w:p>
    <w:p w:rsidR="007E2FB2" w:rsidRDefault="007E2FB2" w:rsidP="00687E72">
      <w:pPr>
        <w:autoSpaceDE w:val="0"/>
        <w:autoSpaceDN w:val="0"/>
        <w:adjustRightInd w:val="0"/>
        <w:ind w:firstLine="709"/>
        <w:rPr>
          <w:rFonts w:cs="Tahoma"/>
        </w:rPr>
      </w:pPr>
    </w:p>
    <w:p w:rsidR="007E2FB2" w:rsidRDefault="007E2FB2" w:rsidP="00687E72">
      <w:pPr>
        <w:autoSpaceDE w:val="0"/>
        <w:autoSpaceDN w:val="0"/>
        <w:adjustRightInd w:val="0"/>
        <w:ind w:firstLine="709"/>
        <w:rPr>
          <w:rFonts w:cs="Tahoma"/>
        </w:rPr>
      </w:pPr>
    </w:p>
    <w:p w:rsidR="007E2FB2" w:rsidRDefault="007E2FB2" w:rsidP="00687E72">
      <w:pPr>
        <w:autoSpaceDE w:val="0"/>
        <w:autoSpaceDN w:val="0"/>
        <w:adjustRightInd w:val="0"/>
        <w:ind w:firstLine="709"/>
        <w:rPr>
          <w:rFonts w:cs="Tahoma"/>
        </w:rPr>
      </w:pPr>
    </w:p>
    <w:p w:rsidR="007E2FB2" w:rsidRDefault="007E2FB2" w:rsidP="00687E72">
      <w:pPr>
        <w:autoSpaceDE w:val="0"/>
        <w:autoSpaceDN w:val="0"/>
        <w:adjustRightInd w:val="0"/>
        <w:ind w:firstLine="709"/>
        <w:rPr>
          <w:rFonts w:cs="Tahoma"/>
        </w:rPr>
      </w:pPr>
    </w:p>
    <w:p w:rsidR="007E2FB2" w:rsidRDefault="007E2FB2" w:rsidP="00687E72">
      <w:pPr>
        <w:autoSpaceDE w:val="0"/>
        <w:autoSpaceDN w:val="0"/>
        <w:adjustRightInd w:val="0"/>
        <w:ind w:firstLine="709"/>
        <w:rPr>
          <w:rFonts w:cs="Tahoma"/>
        </w:rPr>
      </w:pPr>
    </w:p>
    <w:p w:rsidR="007E2FB2" w:rsidRDefault="007E2FB2" w:rsidP="00687E72">
      <w:pPr>
        <w:autoSpaceDE w:val="0"/>
        <w:autoSpaceDN w:val="0"/>
        <w:adjustRightInd w:val="0"/>
        <w:ind w:firstLine="709"/>
        <w:rPr>
          <w:rFonts w:cs="Tahoma"/>
        </w:rPr>
      </w:pPr>
    </w:p>
    <w:p w:rsidR="007E2FB2" w:rsidRDefault="007E2FB2" w:rsidP="00687E72">
      <w:pPr>
        <w:autoSpaceDE w:val="0"/>
        <w:autoSpaceDN w:val="0"/>
        <w:adjustRightInd w:val="0"/>
        <w:ind w:firstLine="709"/>
        <w:rPr>
          <w:rFonts w:cs="Tahoma"/>
        </w:rPr>
      </w:pPr>
    </w:p>
    <w:p w:rsidR="007E2FB2" w:rsidRPr="00392EE2" w:rsidRDefault="007E2FB2" w:rsidP="00687E72">
      <w:pPr>
        <w:autoSpaceDE w:val="0"/>
        <w:autoSpaceDN w:val="0"/>
        <w:adjustRightInd w:val="0"/>
        <w:ind w:firstLine="709"/>
        <w:rPr>
          <w:rFonts w:cs="Tahoma"/>
        </w:rPr>
      </w:pPr>
    </w:p>
    <w:p w:rsidR="00687E72" w:rsidRPr="00392EE2" w:rsidRDefault="00803610" w:rsidP="00687E72">
      <w:pPr>
        <w:ind w:firstLine="450"/>
        <w:rPr>
          <w:rFonts w:cs="Tahoma"/>
          <w:bCs/>
        </w:rPr>
      </w:pPr>
      <w:r>
        <w:rPr>
          <w:rFonts w:cs="Tahoma"/>
          <w:bCs/>
          <w:noProof/>
        </w:rPr>
        <w:lastRenderedPageBreak/>
        <w:pict>
          <v:shape id="_x0000_s1198" type="#_x0000_t202" style="position:absolute;left:0;text-align:left;margin-left:-225pt;margin-top:-6.6pt;width:214.7pt;height:278.25pt;z-index:2517176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" stroked="f">
            <v:textbox style="mso-next-textbox:#_x0000_s1198">
              <w:txbxContent>
                <w:p w:rsidR="00280598" w:rsidRPr="007E2FB2" w:rsidRDefault="00280598" w:rsidP="007E2FB2">
                  <w:pPr>
                    <w:rPr>
                      <w:b/>
                      <w:sz w:val="20"/>
                      <w:szCs w:val="20"/>
                    </w:rPr>
                  </w:pPr>
                  <w:r w:rsidRPr="007E2FB2">
                    <w:rPr>
                      <w:b/>
                      <w:sz w:val="20"/>
                      <w:szCs w:val="20"/>
                    </w:rPr>
                    <w:t xml:space="preserve">Chart </w:t>
                  </w:r>
                  <w:r w:rsidR="00803610" w:rsidRPr="007E2FB2">
                    <w:rPr>
                      <w:b/>
                      <w:sz w:val="20"/>
                      <w:szCs w:val="20"/>
                    </w:rPr>
                    <w:fldChar w:fldCharType="begin"/>
                  </w:r>
                  <w:r w:rsidRPr="007E2FB2">
                    <w:rPr>
                      <w:b/>
                      <w:sz w:val="20"/>
                      <w:szCs w:val="20"/>
                    </w:rPr>
                    <w:instrText xml:space="preserve"> SEQ Графикон_бр. \* ARABIC </w:instrText>
                  </w:r>
                  <w:r w:rsidR="00803610" w:rsidRPr="007E2FB2">
                    <w:rPr>
                      <w:b/>
                      <w:sz w:val="20"/>
                      <w:szCs w:val="20"/>
                    </w:rPr>
                    <w:fldChar w:fldCharType="separate"/>
                  </w:r>
                  <w:r>
                    <w:rPr>
                      <w:b/>
                      <w:noProof/>
                      <w:sz w:val="20"/>
                      <w:szCs w:val="20"/>
                    </w:rPr>
                    <w:t>52</w:t>
                  </w:r>
                  <w:r w:rsidR="00803610" w:rsidRPr="007E2FB2">
                    <w:rPr>
                      <w:b/>
                      <w:sz w:val="20"/>
                      <w:szCs w:val="20"/>
                    </w:rPr>
                    <w:fldChar w:fldCharType="end"/>
                  </w:r>
                </w:p>
                <w:p w:rsidR="00280598" w:rsidRPr="00687E72" w:rsidRDefault="00280598" w:rsidP="00687E72">
                  <w:pPr>
                    <w:pStyle w:val="Default"/>
                    <w:jc w:val="both"/>
                    <w:rPr>
                      <w:b/>
                      <w:sz w:val="20"/>
                      <w:szCs w:val="20"/>
                    </w:rPr>
                  </w:pPr>
                  <w:r w:rsidRPr="00687E72">
                    <w:rPr>
                      <w:b/>
                      <w:bCs/>
                      <w:sz w:val="20"/>
                      <w:szCs w:val="20"/>
                    </w:rPr>
                    <w:t xml:space="preserve">Weighted value (left scale) and total weighted value of banking book to own assets ratio (right scale), by type of interest rate </w:t>
                  </w:r>
                </w:p>
                <w:p w:rsidR="00280598" w:rsidRPr="006061AF" w:rsidRDefault="00280598" w:rsidP="00687E72">
                  <w:pPr>
                    <w:pStyle w:val="Default"/>
                    <w:rPr>
                      <w:sz w:val="18"/>
                      <w:szCs w:val="18"/>
                    </w:rPr>
                  </w:pPr>
                  <w:r w:rsidRPr="006061AF">
                    <w:rPr>
                      <w:sz w:val="18"/>
                      <w:szCs w:val="18"/>
                    </w:rPr>
                    <w:t xml:space="preserve">in millions of denars (left scale) </w:t>
                  </w:r>
                </w:p>
                <w:p w:rsidR="00280598" w:rsidRPr="006061AF" w:rsidRDefault="00280598" w:rsidP="00687E72">
                  <w:pPr>
                    <w:tabs>
                      <w:tab w:val="left" w:pos="90"/>
                    </w:tabs>
                    <w:jc w:val="left"/>
                    <w:rPr>
                      <w:noProof/>
                      <w:sz w:val="18"/>
                      <w:szCs w:val="18"/>
                    </w:rPr>
                  </w:pPr>
                  <w:r w:rsidRPr="006061AF">
                    <w:rPr>
                      <w:sz w:val="18"/>
                      <w:szCs w:val="18"/>
                    </w:rPr>
                    <w:t xml:space="preserve">% of own funds (right scale) </w:t>
                  </w:r>
                </w:p>
                <w:p w:rsidR="00280598" w:rsidRPr="000B3C50" w:rsidRDefault="00280598" w:rsidP="00687E72">
                  <w:pPr>
                    <w:tabs>
                      <w:tab w:val="left" w:pos="90"/>
                    </w:tabs>
                    <w:jc w:val="left"/>
                    <w:rPr>
                      <w:sz w:val="18"/>
                      <w:szCs w:val="18"/>
                      <w:lang w:val="mk-MK"/>
                    </w:rPr>
                  </w:pPr>
                  <w:r w:rsidRPr="00076E16">
                    <w:rPr>
                      <w:noProof/>
                    </w:rPr>
                    <w:drawing>
                      <wp:inline distT="0" distB="0" distL="0" distR="0">
                        <wp:extent cx="2543810" cy="211586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0" cy="2115862"/>
                                </a:xfrm>
                                <a:prstGeom prst="rect">
                                  <a:avLst/>
                                </a:prstGeom>
                                <a:noFill/>
                                <a:ln>
                                  <a:noFill/>
                                </a:ln>
                              </pic:spPr>
                            </pic:pic>
                          </a:graphicData>
                        </a:graphic>
                      </wp:inline>
                    </w:drawing>
                  </w:r>
                </w:p>
                <w:p w:rsidR="00280598" w:rsidRPr="003A3FDD" w:rsidRDefault="00280598" w:rsidP="00687E72">
                  <w:pPr>
                    <w:tabs>
                      <w:tab w:val="left" w:pos="90"/>
                    </w:tabs>
                    <w:rPr>
                      <w:lang w:val="mk-MK"/>
                    </w:rPr>
                  </w:pPr>
                  <w:r>
                    <w:rPr>
                      <w:sz w:val="18"/>
                      <w:szCs w:val="18"/>
                    </w:rPr>
                    <w:t>Source: NBRM, based on data submitted by banks.</w:t>
                  </w:r>
                </w:p>
                <w:p w:rsidR="00280598" w:rsidRPr="003A3FDD" w:rsidRDefault="00280598" w:rsidP="00687E72">
                  <w:pPr>
                    <w:tabs>
                      <w:tab w:val="left" w:pos="90"/>
                    </w:tabs>
                    <w:rPr>
                      <w:lang w:val="mk-MK"/>
                    </w:rPr>
                  </w:pPr>
                </w:p>
                <w:p w:rsidR="00280598" w:rsidRDefault="00280598" w:rsidP="00687E72">
                  <w:pPr>
                    <w:pStyle w:val="Caption"/>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Pr="008476D5" w:rsidRDefault="00280598" w:rsidP="00687E72">
                  <w:pPr>
                    <w:tabs>
                      <w:tab w:val="left" w:pos="90"/>
                    </w:tabs>
                    <w:rPr>
                      <w:sz w:val="20"/>
                      <w:szCs w:val="20"/>
                      <w:lang w:val="mk-MK"/>
                    </w:rPr>
                  </w:pPr>
                  <w:r w:rsidRPr="008476D5">
                    <w:rPr>
                      <w:sz w:val="20"/>
                      <w:szCs w:val="20"/>
                      <w:lang w:val="mk-MK"/>
                    </w:rPr>
                    <w:t>Извор:</w:t>
                  </w:r>
                </w:p>
              </w:txbxContent>
            </v:textbox>
            <w10:wrap type="square" anchorx="margin" anchory="margin"/>
          </v:shape>
        </w:pict>
      </w:r>
      <w:r w:rsidR="00687E72" w:rsidRPr="00392EE2">
        <w:rPr>
          <w:rFonts w:cs="Tahoma"/>
          <w:bCs/>
        </w:rPr>
        <w:t>In 2013, the ratio between the total weighted value of the banking book</w:t>
      </w:r>
      <w:r w:rsidR="00687E72" w:rsidRPr="00392EE2">
        <w:rPr>
          <w:rStyle w:val="FootnoteReference"/>
          <w:rFonts w:cs="Tahoma"/>
          <w:bCs/>
        </w:rPr>
        <w:footnoteReference w:id="42"/>
      </w:r>
      <w:r w:rsidR="00687E72" w:rsidRPr="00392EE2">
        <w:rPr>
          <w:rFonts w:cs="Tahoma"/>
          <w:bCs/>
        </w:rPr>
        <w:t xml:space="preserve"> and own funds is still low (2.4%), despite the increase of 1.3 percentage points (Annex 33). Most exposure to interest rate risk in the banking book arises from the higher positive net weighted value calculated for the positions with fixed interest rates and positions in Denars with FX clause with maturity of over one year. Compared to previous years, when the net weighted value of the positions with fixed interest rates had a negative value, in 2013, it was positive and reached Denar 575 million, thus exceeding the amount of the positive net weighted value of the positions with adjustable interest rates (Denar 457 million). This reflects the significantly increased balance sheet assets with fixed interest rates (especially loans and debt securities and other financial instruments available for sale, primarily government securities).</w:t>
      </w:r>
    </w:p>
    <w:p w:rsidR="00687E72" w:rsidRPr="00392EE2" w:rsidRDefault="00803610" w:rsidP="00687E72">
      <w:pPr>
        <w:ind w:firstLine="709"/>
        <w:rPr>
          <w:rFonts w:cs="Tahoma"/>
          <w:bCs/>
        </w:rPr>
      </w:pPr>
      <w:r>
        <w:rPr>
          <w:rFonts w:cs="Tahoma"/>
          <w:bCs/>
          <w:noProof/>
        </w:rPr>
        <w:pict>
          <v:shape id="_x0000_s1199" type="#_x0000_t202" style="position:absolute;left:0;text-align:left;margin-left:-221.25pt;margin-top:276.15pt;width:214.7pt;height:263.25pt;z-index:25171865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" stroked="f">
            <v:textbox style="mso-next-textbox:#_x0000_s1199">
              <w:txbxContent>
                <w:p w:rsidR="00280598" w:rsidRPr="007E2FB2" w:rsidRDefault="00280598" w:rsidP="007E2FB2">
                  <w:pPr>
                    <w:rPr>
                      <w:b/>
                      <w:sz w:val="20"/>
                      <w:szCs w:val="20"/>
                    </w:rPr>
                  </w:pPr>
                  <w:r w:rsidRPr="007E2FB2">
                    <w:rPr>
                      <w:b/>
                      <w:sz w:val="20"/>
                      <w:szCs w:val="20"/>
                    </w:rPr>
                    <w:t xml:space="preserve">Chart </w:t>
                  </w:r>
                  <w:r w:rsidR="00803610" w:rsidRPr="007E2FB2">
                    <w:rPr>
                      <w:b/>
                      <w:sz w:val="20"/>
                      <w:szCs w:val="20"/>
                    </w:rPr>
                    <w:fldChar w:fldCharType="begin"/>
                  </w:r>
                  <w:r w:rsidRPr="007E2FB2">
                    <w:rPr>
                      <w:b/>
                      <w:sz w:val="20"/>
                      <w:szCs w:val="20"/>
                    </w:rPr>
                    <w:instrText xml:space="preserve"> SEQ Графикон_бр. \* ARABIC </w:instrText>
                  </w:r>
                  <w:r w:rsidR="00803610" w:rsidRPr="007E2FB2">
                    <w:rPr>
                      <w:b/>
                      <w:sz w:val="20"/>
                      <w:szCs w:val="20"/>
                    </w:rPr>
                    <w:fldChar w:fldCharType="separate"/>
                  </w:r>
                  <w:r>
                    <w:rPr>
                      <w:b/>
                      <w:noProof/>
                      <w:sz w:val="20"/>
                      <w:szCs w:val="20"/>
                    </w:rPr>
                    <w:t>53</w:t>
                  </w:r>
                  <w:r w:rsidR="00803610" w:rsidRPr="007E2FB2">
                    <w:rPr>
                      <w:b/>
                      <w:sz w:val="20"/>
                      <w:szCs w:val="20"/>
                    </w:rPr>
                    <w:fldChar w:fldCharType="end"/>
                  </w:r>
                </w:p>
                <w:p w:rsidR="00280598" w:rsidRPr="00687E72" w:rsidRDefault="00280598" w:rsidP="00687E72">
                  <w:pPr>
                    <w:pStyle w:val="Default"/>
                    <w:jc w:val="both"/>
                    <w:rPr>
                      <w:b/>
                      <w:bCs/>
                      <w:sz w:val="20"/>
                      <w:szCs w:val="20"/>
                    </w:rPr>
                  </w:pPr>
                  <w:r w:rsidRPr="00687E72">
                    <w:rPr>
                      <w:b/>
                      <w:bCs/>
                      <w:sz w:val="20"/>
                      <w:szCs w:val="20"/>
                    </w:rPr>
                    <w:t xml:space="preserve">Ratio between the total weighted value of the banking book and own funds, by the interest rate type, the currency and the maturity segments </w:t>
                  </w:r>
                </w:p>
                <w:p w:rsidR="00280598" w:rsidRPr="006061AF" w:rsidRDefault="00280598" w:rsidP="00687E72">
                  <w:pPr>
                    <w:tabs>
                      <w:tab w:val="left" w:pos="90"/>
                    </w:tabs>
                    <w:jc w:val="left"/>
                    <w:rPr>
                      <w:noProof/>
                      <w:sz w:val="18"/>
                      <w:szCs w:val="18"/>
                    </w:rPr>
                  </w:pPr>
                  <w:r w:rsidRPr="006061AF">
                    <w:rPr>
                      <w:sz w:val="18"/>
                      <w:szCs w:val="18"/>
                    </w:rPr>
                    <w:t xml:space="preserve">in % </w:t>
                  </w:r>
                </w:p>
                <w:p w:rsidR="00280598" w:rsidRPr="000B3C50" w:rsidRDefault="00280598" w:rsidP="00687E72">
                  <w:pPr>
                    <w:tabs>
                      <w:tab w:val="left" w:pos="90"/>
                    </w:tabs>
                    <w:jc w:val="left"/>
                    <w:rPr>
                      <w:sz w:val="18"/>
                      <w:szCs w:val="18"/>
                      <w:lang w:val="mk-MK"/>
                    </w:rPr>
                  </w:pPr>
                  <w:r w:rsidRPr="00076E16">
                    <w:rPr>
                      <w:noProof/>
                    </w:rPr>
                    <w:drawing>
                      <wp:inline distT="0" distB="0" distL="0" distR="0">
                        <wp:extent cx="2543810" cy="2044839"/>
                        <wp:effectExtent l="0" t="0" r="0" b="0"/>
                        <wp:docPr id="3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0" cy="2044839"/>
                                </a:xfrm>
                                <a:prstGeom prst="rect">
                                  <a:avLst/>
                                </a:prstGeom>
                                <a:noFill/>
                                <a:ln>
                                  <a:noFill/>
                                </a:ln>
                              </pic:spPr>
                            </pic:pic>
                          </a:graphicData>
                        </a:graphic>
                      </wp:inline>
                    </w:drawing>
                  </w:r>
                </w:p>
                <w:p w:rsidR="00280598" w:rsidRPr="003A3FDD" w:rsidRDefault="00280598" w:rsidP="00687E72">
                  <w:pPr>
                    <w:tabs>
                      <w:tab w:val="left" w:pos="90"/>
                    </w:tabs>
                    <w:rPr>
                      <w:lang w:val="mk-MK"/>
                    </w:rPr>
                  </w:pPr>
                  <w:r>
                    <w:rPr>
                      <w:sz w:val="18"/>
                      <w:szCs w:val="18"/>
                    </w:rPr>
                    <w:t>Source: NBRM, based on data submitted by banks.</w:t>
                  </w:r>
                </w:p>
                <w:p w:rsidR="00280598" w:rsidRPr="003A3FDD" w:rsidRDefault="00280598" w:rsidP="00687E72">
                  <w:pPr>
                    <w:tabs>
                      <w:tab w:val="left" w:pos="90"/>
                    </w:tabs>
                    <w:rPr>
                      <w:lang w:val="mk-MK"/>
                    </w:rPr>
                  </w:pPr>
                </w:p>
                <w:p w:rsidR="00280598" w:rsidRDefault="00280598" w:rsidP="00687E72">
                  <w:pPr>
                    <w:pStyle w:val="Caption"/>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Default="00280598" w:rsidP="00687E72">
                  <w:pPr>
                    <w:tabs>
                      <w:tab w:val="left" w:pos="90"/>
                    </w:tabs>
                    <w:rPr>
                      <w:lang w:val="mk-MK"/>
                    </w:rPr>
                  </w:pPr>
                </w:p>
                <w:p w:rsidR="00280598" w:rsidRPr="008476D5" w:rsidRDefault="00280598" w:rsidP="00687E72">
                  <w:pPr>
                    <w:tabs>
                      <w:tab w:val="left" w:pos="90"/>
                    </w:tabs>
                    <w:rPr>
                      <w:sz w:val="20"/>
                      <w:szCs w:val="20"/>
                      <w:lang w:val="mk-MK"/>
                    </w:rPr>
                  </w:pPr>
                  <w:r w:rsidRPr="008476D5">
                    <w:rPr>
                      <w:sz w:val="20"/>
                      <w:szCs w:val="20"/>
                      <w:lang w:val="mk-MK"/>
                    </w:rPr>
                    <w:t>Извор:</w:t>
                  </w:r>
                </w:p>
              </w:txbxContent>
            </v:textbox>
            <w10:wrap type="square" anchorx="margin" anchory="margin"/>
          </v:shape>
        </w:pict>
      </w:r>
      <w:r w:rsidR="00687E72" w:rsidRPr="00392EE2">
        <w:rPr>
          <w:rFonts w:cs="Tahoma"/>
          <w:bCs/>
        </w:rPr>
        <w:t> </w:t>
      </w:r>
    </w:p>
    <w:p w:rsidR="00687E72" w:rsidRPr="00392EE2" w:rsidRDefault="00687E72" w:rsidP="00687E72">
      <w:pPr>
        <w:ind w:firstLine="450"/>
        <w:rPr>
          <w:rFonts w:cs="Tahoma"/>
          <w:bCs/>
        </w:rPr>
      </w:pPr>
      <w:r w:rsidRPr="00392EE2">
        <w:rPr>
          <w:rFonts w:cs="Tahoma"/>
          <w:bCs/>
        </w:rPr>
        <w:t>Analyzed by banks, the ratio between the total weighted value of the banking book and own funds ranges from 0.1% to 8.9%, with a median of 2.6% and the third quartile of 4.3%, with the highest ratio being registered with one bank that does not apply adjustable interest rates</w:t>
      </w:r>
      <w:r w:rsidRPr="00392EE2">
        <w:rPr>
          <w:rFonts w:cs="Tahoma"/>
        </w:rPr>
        <w:t>.</w:t>
      </w:r>
      <w:r w:rsidRPr="00392EE2">
        <w:rPr>
          <w:rFonts w:cs="Tahoma"/>
          <w:bCs/>
        </w:rPr>
        <w:t xml:space="preserve"> </w:t>
      </w:r>
    </w:p>
    <w:p w:rsidR="00687E72" w:rsidRDefault="00687E72" w:rsidP="00687E72">
      <w:pPr>
        <w:ind w:firstLine="709"/>
        <w:rPr>
          <w:rFonts w:cs="Tahoma"/>
        </w:rPr>
      </w:pPr>
    </w:p>
    <w:p w:rsidR="00687E72" w:rsidRDefault="00687E72" w:rsidP="00687E72">
      <w:pPr>
        <w:ind w:firstLine="709"/>
        <w:rPr>
          <w:rFonts w:cs="Tahoma"/>
        </w:rPr>
      </w:pPr>
    </w:p>
    <w:p w:rsidR="00687E72" w:rsidRDefault="00687E72" w:rsidP="00687E72">
      <w:pPr>
        <w:ind w:firstLine="709"/>
        <w:rPr>
          <w:rFonts w:cs="Tahoma"/>
        </w:rPr>
      </w:pPr>
    </w:p>
    <w:p w:rsidR="00687E72" w:rsidRDefault="00687E72" w:rsidP="00687E72">
      <w:pPr>
        <w:ind w:firstLine="709"/>
        <w:rPr>
          <w:rFonts w:cs="Tahoma"/>
        </w:rPr>
      </w:pPr>
    </w:p>
    <w:p w:rsidR="00687E72" w:rsidRDefault="00687E72" w:rsidP="00687E72">
      <w:pPr>
        <w:ind w:firstLine="709"/>
        <w:rPr>
          <w:rFonts w:cs="Tahoma"/>
        </w:rPr>
      </w:pPr>
    </w:p>
    <w:p w:rsidR="00687E72" w:rsidRDefault="00687E72" w:rsidP="00687E72">
      <w:pPr>
        <w:ind w:firstLine="709"/>
        <w:rPr>
          <w:rFonts w:cs="Tahoma"/>
        </w:rPr>
      </w:pPr>
    </w:p>
    <w:p w:rsidR="00687E72" w:rsidRDefault="00687E72" w:rsidP="00687E72">
      <w:pPr>
        <w:ind w:firstLine="709"/>
        <w:rPr>
          <w:rFonts w:cs="Tahoma"/>
        </w:rPr>
      </w:pPr>
    </w:p>
    <w:p w:rsidR="00687E72" w:rsidRDefault="00687E72" w:rsidP="00687E72">
      <w:pPr>
        <w:ind w:firstLine="709"/>
        <w:rPr>
          <w:rFonts w:cs="Tahoma"/>
        </w:rPr>
      </w:pPr>
    </w:p>
    <w:p w:rsidR="00687E72" w:rsidRDefault="00687E72" w:rsidP="00687E72">
      <w:pPr>
        <w:ind w:firstLine="709"/>
        <w:rPr>
          <w:rFonts w:cs="Tahoma"/>
        </w:rPr>
      </w:pPr>
    </w:p>
    <w:p w:rsidR="00687E72" w:rsidRDefault="00687E72" w:rsidP="00687E72">
      <w:pPr>
        <w:ind w:firstLine="709"/>
        <w:rPr>
          <w:rFonts w:cs="Tahoma"/>
        </w:rPr>
      </w:pPr>
    </w:p>
    <w:p w:rsidR="00687E72" w:rsidRDefault="00687E72" w:rsidP="00687E72">
      <w:pPr>
        <w:ind w:firstLine="709"/>
        <w:rPr>
          <w:rFonts w:cs="Tahoma"/>
        </w:rPr>
      </w:pPr>
    </w:p>
    <w:p w:rsidR="00687E72" w:rsidRDefault="00687E72" w:rsidP="00687E72">
      <w:pPr>
        <w:ind w:firstLine="709"/>
        <w:rPr>
          <w:rFonts w:cs="Tahoma"/>
        </w:rPr>
      </w:pPr>
    </w:p>
    <w:p w:rsidR="00687E72" w:rsidRDefault="00687E72" w:rsidP="00687E72">
      <w:pPr>
        <w:ind w:firstLine="709"/>
        <w:rPr>
          <w:rFonts w:cs="Tahoma"/>
        </w:rPr>
      </w:pPr>
    </w:p>
    <w:p w:rsidR="00687E72" w:rsidRDefault="00687E72" w:rsidP="00687E72">
      <w:pPr>
        <w:ind w:firstLine="709"/>
        <w:rPr>
          <w:rFonts w:cs="Tahoma"/>
        </w:rPr>
      </w:pPr>
    </w:p>
    <w:p w:rsidR="00687E72" w:rsidRDefault="00687E72" w:rsidP="00687E72">
      <w:pPr>
        <w:ind w:firstLine="709"/>
        <w:rPr>
          <w:rFonts w:cs="Tahoma"/>
        </w:rPr>
      </w:pPr>
    </w:p>
    <w:p w:rsidR="009766A6" w:rsidRDefault="009766A6" w:rsidP="00C60FE4">
      <w:pPr>
        <w:rPr>
          <w:rFonts w:eastAsiaTheme="majorEastAsia" w:cstheme="majorBidi"/>
          <w:iCs/>
        </w:rPr>
      </w:pPr>
    </w:p>
    <w:p w:rsidR="009766A6" w:rsidRDefault="009766A6" w:rsidP="00C60FE4">
      <w:pPr>
        <w:rPr>
          <w:rFonts w:eastAsiaTheme="majorEastAsia" w:cstheme="majorBidi"/>
          <w:iCs/>
        </w:rPr>
      </w:pPr>
    </w:p>
    <w:p w:rsidR="00B56B61" w:rsidRPr="00F70592" w:rsidRDefault="00B56B61" w:rsidP="00C5550A">
      <w:pPr>
        <w:pStyle w:val="Heading2"/>
      </w:pPr>
      <w:bookmarkStart w:id="24" w:name="_Toc393283597"/>
      <w:r w:rsidRPr="00F70592">
        <w:lastRenderedPageBreak/>
        <w:t>Insolvency risk</w:t>
      </w:r>
      <w:bookmarkEnd w:id="24"/>
    </w:p>
    <w:p w:rsidR="00B56B61" w:rsidRPr="005F1ACB" w:rsidRDefault="00B56B61" w:rsidP="00B56B61">
      <w:pPr>
        <w:ind w:left="-4536" w:firstLine="720"/>
        <w:rPr>
          <w:rFonts w:cs="Tahoma"/>
          <w:b/>
          <w:bCs/>
          <w:lang w:val="en-GB"/>
        </w:rPr>
      </w:pPr>
      <w:bookmarkStart w:id="25" w:name="_Toc296501675"/>
      <w:bookmarkStart w:id="26" w:name="_Toc296501763"/>
      <w:bookmarkStart w:id="27" w:name="_Toc296502423"/>
      <w:bookmarkStart w:id="28" w:name="_Toc296503396"/>
      <w:bookmarkStart w:id="29" w:name="_Toc296503442"/>
      <w:bookmarkStart w:id="30" w:name="_Toc296505749"/>
      <w:bookmarkStart w:id="31" w:name="_Toc297124655"/>
      <w:bookmarkStart w:id="32" w:name="_Toc297125064"/>
      <w:bookmarkStart w:id="33" w:name="_Toc303001258"/>
      <w:bookmarkStart w:id="34" w:name="_Toc304962776"/>
      <w:bookmarkStart w:id="35" w:name="_Toc304963610"/>
      <w:bookmarkStart w:id="36" w:name="_Toc311556857"/>
      <w:bookmarkStart w:id="37" w:name="_Toc311556899"/>
      <w:bookmarkStart w:id="38" w:name="_Toc311557319"/>
      <w:bookmarkStart w:id="39" w:name="_Toc303001259"/>
      <w:bookmarkStart w:id="40" w:name="_Toc304962777"/>
      <w:bookmarkStart w:id="41" w:name="_Toc304963611"/>
      <w:bookmarkStart w:id="42" w:name="_Toc311556858"/>
      <w:bookmarkStart w:id="43" w:name="_Toc311556900"/>
      <w:bookmarkStart w:id="44" w:name="_Toc311557320"/>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B56B61" w:rsidRPr="005F1ACB" w:rsidRDefault="00803610" w:rsidP="00B56B61">
      <w:pPr>
        <w:ind w:left="-4536" w:firstLine="720"/>
        <w:rPr>
          <w:rFonts w:cs="Tahoma"/>
          <w:b/>
          <w:bCs/>
          <w:lang w:val="en-GB"/>
        </w:rPr>
      </w:pPr>
      <w:r w:rsidRPr="00803610">
        <w:rPr>
          <w:rFonts w:cs="Tahoma"/>
          <w:bCs/>
          <w:noProof/>
          <w:lang w:val="en-GB"/>
        </w:rPr>
        <w:pict>
          <v:shape id="_x0000_s1201" type="#_x0000_t202" style="position:absolute;left:0;text-align:left;margin-left:-226.8pt;margin-top:98.85pt;width:219.4pt;height:407.25pt;z-index:251720704;v-text-anchor:middle" stroked="f" strokecolor="black [3213]">
            <v:textbox style="mso-next-textbox:#_x0000_s1201" inset="0,0,0,0">
              <w:txbxContent>
                <w:p w:rsidR="00280598" w:rsidRPr="00E8302F" w:rsidRDefault="00280598" w:rsidP="00B56B61">
                  <w:pPr>
                    <w:pStyle w:val="Caption"/>
                    <w:rPr>
                      <w:rFonts w:cs="Tahoma"/>
                      <w:b w:val="0"/>
                    </w:rPr>
                  </w:pPr>
                  <w:r>
                    <w:t>Chart</w:t>
                  </w:r>
                  <w:r w:rsidRPr="00E8302F">
                    <w:t xml:space="preserve"> </w:t>
                  </w:r>
                  <w:fldSimple w:instr=" SEQ Графикон_бр. \* ARABIC ">
                    <w:r>
                      <w:rPr>
                        <w:noProof/>
                      </w:rPr>
                      <w:t>54</w:t>
                    </w:r>
                  </w:fldSimple>
                  <w:r w:rsidRPr="00E8302F">
                    <w:rPr>
                      <w:rFonts w:cs="Tahoma"/>
                      <w:lang w:val="mk-MK"/>
                    </w:rPr>
                    <w:t xml:space="preserve"> </w:t>
                  </w:r>
                </w:p>
                <w:p w:rsidR="00280598" w:rsidRPr="00E8302F" w:rsidRDefault="00280598" w:rsidP="00B56B61">
                  <w:pPr>
                    <w:pStyle w:val="Caption"/>
                    <w:rPr>
                      <w:rFonts w:cs="Tahoma"/>
                      <w:b w:val="0"/>
                    </w:rPr>
                  </w:pPr>
                  <w:r>
                    <w:rPr>
                      <w:rFonts w:cs="Tahoma"/>
                    </w:rPr>
                    <w:t>Solvency ratios</w:t>
                  </w:r>
                  <w:r>
                    <w:rPr>
                      <w:rFonts w:cs="Tahoma"/>
                      <w:lang w:val="mk-MK"/>
                    </w:rPr>
                    <w:t xml:space="preserve"> (</w:t>
                  </w:r>
                  <w:r>
                    <w:rPr>
                      <w:rFonts w:cs="Tahoma"/>
                    </w:rPr>
                    <w:t>up</w:t>
                  </w:r>
                  <w:r>
                    <w:rPr>
                      <w:rFonts w:cs="Tahoma"/>
                      <w:lang w:val="mk-MK"/>
                    </w:rPr>
                    <w:t xml:space="preserve">) </w:t>
                  </w:r>
                  <w:r>
                    <w:rPr>
                      <w:rFonts w:cs="Tahoma"/>
                    </w:rPr>
                    <w:t>and</w:t>
                  </w:r>
                  <w:r>
                    <w:rPr>
                      <w:rFonts w:cs="Tahoma"/>
                      <w:lang w:val="mk-MK"/>
                    </w:rPr>
                    <w:t xml:space="preserve"> </w:t>
                  </w:r>
                  <w:r>
                    <w:rPr>
                      <w:rFonts w:cs="Tahoma"/>
                    </w:rPr>
                    <w:t>Z-index</w:t>
                  </w:r>
                  <w:r>
                    <w:rPr>
                      <w:rFonts w:cs="Tahoma"/>
                      <w:lang w:val="mk-MK"/>
                    </w:rPr>
                    <w:t xml:space="preserve"> </w:t>
                  </w:r>
                  <w:r>
                    <w:rPr>
                      <w:rFonts w:cs="Tahoma"/>
                    </w:rPr>
                    <w:t>for the banking system</w:t>
                  </w:r>
                  <w:r>
                    <w:rPr>
                      <w:rFonts w:cs="Tahoma"/>
                      <w:lang w:val="mk-MK"/>
                    </w:rPr>
                    <w:t xml:space="preserve"> (</w:t>
                  </w:r>
                  <w:r>
                    <w:rPr>
                      <w:rFonts w:cs="Tahoma"/>
                    </w:rPr>
                    <w:t>down</w:t>
                  </w:r>
                  <w:r>
                    <w:rPr>
                      <w:rFonts w:cs="Tahoma"/>
                      <w:lang w:val="mk-MK"/>
                    </w:rPr>
                    <w:t>)</w:t>
                  </w:r>
                </w:p>
                <w:p w:rsidR="00280598" w:rsidRDefault="00280598" w:rsidP="00B56B61">
                  <w:pPr>
                    <w:rPr>
                      <w:sz w:val="18"/>
                      <w:szCs w:val="18"/>
                    </w:rPr>
                  </w:pPr>
                  <w:r>
                    <w:rPr>
                      <w:sz w:val="18"/>
                      <w:szCs w:val="18"/>
                    </w:rPr>
                    <w:t>in percentages</w:t>
                  </w:r>
                  <w:r>
                    <w:rPr>
                      <w:sz w:val="18"/>
                      <w:szCs w:val="18"/>
                      <w:lang w:val="mk-MK"/>
                    </w:rPr>
                    <w:t xml:space="preserve">                                                                </w:t>
                  </w:r>
                </w:p>
                <w:p w:rsidR="00280598" w:rsidRDefault="00280598" w:rsidP="00B56B61">
                  <w:pPr>
                    <w:rPr>
                      <w:sz w:val="18"/>
                      <w:szCs w:val="18"/>
                    </w:rPr>
                  </w:pPr>
                  <w:r w:rsidRPr="00000939">
                    <w:rPr>
                      <w:noProof/>
                    </w:rPr>
                    <w:drawing>
                      <wp:inline distT="0" distB="0" distL="0" distR="0">
                        <wp:extent cx="2782957" cy="2194560"/>
                        <wp:effectExtent l="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6380" cy="2197259"/>
                                </a:xfrm>
                                <a:prstGeom prst="rect">
                                  <a:avLst/>
                                </a:prstGeom>
                                <a:noFill/>
                                <a:ln>
                                  <a:noFill/>
                                </a:ln>
                              </pic:spPr>
                            </pic:pic>
                          </a:graphicData>
                        </a:graphic>
                      </wp:inline>
                    </w:drawing>
                  </w:r>
                </w:p>
                <w:p w:rsidR="00280598" w:rsidRPr="003D3117" w:rsidRDefault="00280598" w:rsidP="00B56B61">
                  <w:pPr>
                    <w:rPr>
                      <w:sz w:val="18"/>
                      <w:szCs w:val="18"/>
                    </w:rPr>
                  </w:pPr>
                  <w:r>
                    <w:rPr>
                      <w:sz w:val="18"/>
                      <w:szCs w:val="18"/>
                    </w:rPr>
                    <w:t>in levels                                                            in</w:t>
                  </w:r>
                  <w:r>
                    <w:rPr>
                      <w:sz w:val="18"/>
                      <w:szCs w:val="18"/>
                      <w:lang w:val="mk-MK"/>
                    </w:rPr>
                    <w:t xml:space="preserve"> </w:t>
                  </w:r>
                  <w:r>
                    <w:rPr>
                      <w:sz w:val="18"/>
                      <w:szCs w:val="18"/>
                    </w:rPr>
                    <w:t>ln</w:t>
                  </w:r>
                </w:p>
                <w:p w:rsidR="00280598" w:rsidRDefault="00280598" w:rsidP="00B56B61">
                  <w:pPr>
                    <w:rPr>
                      <w:sz w:val="18"/>
                      <w:szCs w:val="18"/>
                      <w:lang w:val="mk-MK"/>
                    </w:rPr>
                  </w:pPr>
                  <w:r w:rsidRPr="0029257D">
                    <w:rPr>
                      <w:noProof/>
                    </w:rPr>
                    <w:drawing>
                      <wp:inline distT="0" distB="0" distL="0" distR="0">
                        <wp:extent cx="2762250" cy="2047875"/>
                        <wp:effectExtent l="1905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8368" cy="2052411"/>
                                </a:xfrm>
                                <a:prstGeom prst="rect">
                                  <a:avLst/>
                                </a:prstGeom>
                                <a:noFill/>
                                <a:ln>
                                  <a:noFill/>
                                </a:ln>
                              </pic:spPr>
                            </pic:pic>
                          </a:graphicData>
                        </a:graphic>
                      </wp:inline>
                    </w:drawing>
                  </w:r>
                </w:p>
                <w:p w:rsidR="00280598" w:rsidRPr="00E8302F" w:rsidRDefault="00280598" w:rsidP="00B56B61">
                  <w:pPr>
                    <w:rPr>
                      <w:sz w:val="18"/>
                      <w:szCs w:val="18"/>
                      <w:lang w:val="mk-MK"/>
                    </w:rPr>
                  </w:pPr>
                  <w:r>
                    <w:rPr>
                      <w:sz w:val="18"/>
                      <w:szCs w:val="18"/>
                    </w:rPr>
                    <w:t>Source</w:t>
                  </w:r>
                  <w:r w:rsidRPr="00E8302F">
                    <w:rPr>
                      <w:sz w:val="18"/>
                      <w:szCs w:val="18"/>
                      <w:lang w:val="mk-MK"/>
                    </w:rPr>
                    <w:t>:</w:t>
                  </w:r>
                  <w:r w:rsidRPr="00E8302F">
                    <w:rPr>
                      <w:rFonts w:cs="Tahoma"/>
                      <w:sz w:val="18"/>
                      <w:szCs w:val="18"/>
                      <w:lang w:val="mk-MK"/>
                    </w:rPr>
                    <w:t xml:space="preserve"> </w:t>
                  </w:r>
                  <w:r>
                    <w:rPr>
                      <w:rFonts w:cs="Tahoma"/>
                      <w:sz w:val="18"/>
                      <w:szCs w:val="18"/>
                    </w:rPr>
                    <w:t>NBRM</w:t>
                  </w:r>
                  <w:r w:rsidRPr="00E8302F">
                    <w:rPr>
                      <w:rFonts w:cs="Tahoma"/>
                      <w:sz w:val="18"/>
                      <w:szCs w:val="18"/>
                      <w:lang w:val="mk-MK"/>
                    </w:rPr>
                    <w:t xml:space="preserve">, </w:t>
                  </w:r>
                  <w:r>
                    <w:rPr>
                      <w:rFonts w:cs="Tahoma"/>
                      <w:sz w:val="18"/>
                      <w:szCs w:val="18"/>
                    </w:rPr>
                    <w:t>based on data submitted by banks</w:t>
                  </w:r>
                  <w:r>
                    <w:rPr>
                      <w:rFonts w:cs="Tahoma"/>
                      <w:sz w:val="18"/>
                      <w:szCs w:val="18"/>
                      <w:lang w:val="mk-MK"/>
                    </w:rPr>
                    <w:t>.</w:t>
                  </w: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Pr="008476D5" w:rsidRDefault="00280598" w:rsidP="00B56B61">
                  <w:pPr>
                    <w:rPr>
                      <w:sz w:val="20"/>
                      <w:szCs w:val="20"/>
                      <w:lang w:val="mk-MK"/>
                    </w:rPr>
                  </w:pPr>
                </w:p>
              </w:txbxContent>
            </v:textbox>
            <w10:wrap type="square"/>
          </v:shape>
        </w:pict>
      </w:r>
      <w:r w:rsidR="00B56B61" w:rsidRPr="005F1ACB">
        <w:rPr>
          <w:rFonts w:cs="Tahoma"/>
          <w:b/>
          <w:bCs/>
          <w:lang w:val="en-GB"/>
        </w:rPr>
        <w:t>The capital adequacy ratio of the banking system registered some decline in 2013, but is still twice the legally prescribed minimum. The overall stability of the banking system, measured by the so-called Z-index increased, and at the end of 2013 it reached its historically highest level for the last seven analyzed years. In 2013, three banks issued new subordinated instruments, but the reinvested gain is the most important source of increasing the banking system's own funds. Capital requirements for credit risk, arising from the small loans portfolio, claims on other companies and partially, claims on banks, had the largest contribution to the growth of total capital requirements of the banking system. However, the slower growth of the risk-weighted assets, compared with the growth of total assets, suggests that banks are still cautious when taking risks. The results of the stress test conducted on December 31, 2013 are somewhat worse than at the end of 2012, but the banking system retained the resilience to hypothetical shocks.</w:t>
      </w:r>
    </w:p>
    <w:p w:rsidR="00B56B61" w:rsidRPr="005F1ACB" w:rsidRDefault="00B56B61" w:rsidP="00B56B61">
      <w:pPr>
        <w:ind w:left="-4536" w:firstLine="810"/>
        <w:rPr>
          <w:rFonts w:cs="Tahoma"/>
          <w:b/>
          <w:bCs/>
          <w:lang w:val="en-GB"/>
        </w:rPr>
      </w:pPr>
    </w:p>
    <w:p w:rsidR="00B56B61" w:rsidRPr="005F1ACB" w:rsidRDefault="00B56B61" w:rsidP="00C5550A">
      <w:pPr>
        <w:pStyle w:val="Heading3"/>
      </w:pPr>
      <w:bookmarkStart w:id="45" w:name="_Toc384892818"/>
      <w:bookmarkStart w:id="46" w:name="_Toc384893285"/>
      <w:bookmarkStart w:id="47" w:name="_Toc384995368"/>
      <w:bookmarkStart w:id="48" w:name="_Toc384996373"/>
      <w:bookmarkStart w:id="49" w:name="_Toc384996498"/>
      <w:bookmarkStart w:id="50" w:name="_Toc385417464"/>
      <w:bookmarkStart w:id="51" w:name="_Toc386539289"/>
      <w:bookmarkStart w:id="52" w:name="_Toc386539332"/>
      <w:bookmarkStart w:id="53" w:name="_Toc386539451"/>
      <w:bookmarkStart w:id="54" w:name="_Toc387051889"/>
      <w:bookmarkStart w:id="55" w:name="_Toc387052325"/>
      <w:bookmarkStart w:id="56" w:name="_Toc387052839"/>
      <w:bookmarkStart w:id="57" w:name="_Toc387052917"/>
      <w:bookmarkStart w:id="58" w:name="_Toc387054072"/>
      <w:bookmarkStart w:id="59" w:name="_Toc387054224"/>
      <w:bookmarkStart w:id="60" w:name="_Toc387054457"/>
      <w:bookmarkStart w:id="61" w:name="_Toc387055257"/>
      <w:bookmarkStart w:id="62" w:name="_Toc387055336"/>
      <w:bookmarkStart w:id="63" w:name="_Toc387056357"/>
      <w:bookmarkStart w:id="64" w:name="_Toc387056493"/>
      <w:bookmarkStart w:id="65" w:name="_Toc393283598"/>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F70592">
        <w:t>Solvency</w:t>
      </w:r>
      <w:r w:rsidRPr="005F1ACB">
        <w:t xml:space="preserve"> and capitalization ratios of the banking system</w:t>
      </w:r>
      <w:bookmarkEnd w:id="65"/>
    </w:p>
    <w:p w:rsidR="00B56B61" w:rsidRPr="005F1ACB" w:rsidRDefault="00B56B61" w:rsidP="00B56B61">
      <w:pPr>
        <w:ind w:firstLine="709"/>
        <w:rPr>
          <w:rFonts w:cs="Tahoma"/>
          <w:bCs/>
          <w:lang w:val="en-GB"/>
        </w:rPr>
      </w:pPr>
    </w:p>
    <w:p w:rsidR="00B56B61" w:rsidRPr="005F1ACB" w:rsidRDefault="00B56B61" w:rsidP="00B56B61">
      <w:pPr>
        <w:ind w:firstLine="706"/>
        <w:rPr>
          <w:rFonts w:cs="Tahoma"/>
          <w:bCs/>
          <w:lang w:val="en-GB"/>
        </w:rPr>
      </w:pPr>
      <w:r w:rsidRPr="005F1ACB">
        <w:rPr>
          <w:rFonts w:cs="Tahoma"/>
          <w:bCs/>
          <w:lang w:val="en-GB"/>
        </w:rPr>
        <w:t>The overall stability of the banking system, measured by the so-called Z-index</w:t>
      </w:r>
      <w:r w:rsidRPr="005F1ACB">
        <w:rPr>
          <w:rStyle w:val="FootnoteReference"/>
          <w:rFonts w:cs="Tahoma"/>
          <w:bCs/>
          <w:lang w:val="en-GB"/>
        </w:rPr>
        <w:footnoteReference w:id="43"/>
      </w:r>
      <w:r w:rsidRPr="005F1ACB">
        <w:rPr>
          <w:rFonts w:cs="Tahoma"/>
          <w:bCs/>
          <w:lang w:val="en-GB"/>
        </w:rPr>
        <w:t xml:space="preserve"> increased, and at the end of 2013, it reached its highest historical level for the last seven analyzed years. However, some indicators of the banking system' solvency registered some reduction on annual basis. The increase in the Z-index is a result of the increased share of capital and reserves in the total assets of the banking system and the increased rate of return on average assets, amid simultaneous reduction in its volatility (measured by the standard deviation). </w:t>
      </w:r>
      <w:r>
        <w:rPr>
          <w:rFonts w:cs="Tahoma"/>
          <w:bCs/>
          <w:lang w:val="en-GB"/>
        </w:rPr>
        <w:t>A</w:t>
      </w:r>
      <w:r w:rsidRPr="005F1ACB">
        <w:rPr>
          <w:rFonts w:cs="Tahoma"/>
          <w:bCs/>
          <w:lang w:val="en-GB"/>
        </w:rPr>
        <w:t xml:space="preserve">mong the solvency ratios, the capital adequacy ratio registered the largest downward change of </w:t>
      </w:r>
      <w:r w:rsidRPr="005F1ACB">
        <w:rPr>
          <w:rFonts w:cs="Tahoma"/>
          <w:bCs/>
          <w:lang w:val="en-GB"/>
        </w:rPr>
        <w:lastRenderedPageBreak/>
        <w:t>0.3 percentage points, but its level is more than twice the legally prescribed minimum. Other ratios of the banking system's solvency and capitalization recorded a minimum annual change of 0.1 percentage point.</w:t>
      </w:r>
    </w:p>
    <w:p w:rsidR="00B56B61" w:rsidRPr="005F1ACB" w:rsidRDefault="00803610" w:rsidP="00396F33">
      <w:pPr>
        <w:ind w:firstLine="709"/>
        <w:rPr>
          <w:rFonts w:cs="Tahoma"/>
          <w:bCs/>
          <w:lang w:val="en-GB"/>
        </w:rPr>
      </w:pPr>
      <w:r w:rsidRPr="00803610">
        <w:rPr>
          <w:rFonts w:cs="Tahoma"/>
          <w:bCs/>
          <w:noProof/>
          <w:lang w:val="en-GB"/>
        </w:rPr>
        <w:pict>
          <v:shape id="_x0000_s1202" type="#_x0000_t202" style="position:absolute;left:0;text-align:left;margin-left:-236.8pt;margin-top:-62.6pt;width:223.2pt;height:257.25pt;z-index:251721728;v-text-anchor:middle" stroked="f" strokecolor="black [3213]">
            <v:textbox style="mso-next-textbox:#_x0000_s1202" inset="0,0,0,0">
              <w:txbxContent>
                <w:p w:rsidR="00280598" w:rsidRPr="00E8302F" w:rsidRDefault="00280598" w:rsidP="00B56B61">
                  <w:pPr>
                    <w:pStyle w:val="Caption"/>
                    <w:rPr>
                      <w:rFonts w:cs="Tahoma"/>
                      <w:b w:val="0"/>
                    </w:rPr>
                  </w:pPr>
                  <w:r>
                    <w:t>Chart</w:t>
                  </w:r>
                  <w:r w:rsidRPr="00E8302F">
                    <w:t xml:space="preserve"> </w:t>
                  </w:r>
                  <w:fldSimple w:instr=" SEQ Графикон_бр. \* ARABIC ">
                    <w:r>
                      <w:rPr>
                        <w:noProof/>
                      </w:rPr>
                      <w:t>55</w:t>
                    </w:r>
                  </w:fldSimple>
                  <w:r w:rsidRPr="00E8302F">
                    <w:rPr>
                      <w:rFonts w:cs="Tahoma"/>
                      <w:lang w:val="mk-MK"/>
                    </w:rPr>
                    <w:t xml:space="preserve"> </w:t>
                  </w:r>
                </w:p>
                <w:p w:rsidR="00280598" w:rsidRPr="00B12CF0" w:rsidRDefault="00280598" w:rsidP="00B56B61">
                  <w:pPr>
                    <w:pStyle w:val="Caption"/>
                    <w:rPr>
                      <w:rFonts w:cs="Tahoma"/>
                      <w:b w:val="0"/>
                    </w:rPr>
                  </w:pPr>
                  <w:r>
                    <w:rPr>
                      <w:rFonts w:cs="Tahoma"/>
                    </w:rPr>
                    <w:t>Annual growth of solvency ratios’ components</w:t>
                  </w:r>
                </w:p>
                <w:p w:rsidR="00280598" w:rsidRPr="00B12CF0" w:rsidRDefault="00280598" w:rsidP="00B56B61">
                  <w:pPr>
                    <w:rPr>
                      <w:sz w:val="18"/>
                      <w:szCs w:val="18"/>
                    </w:rPr>
                  </w:pPr>
                  <w:r>
                    <w:rPr>
                      <w:sz w:val="18"/>
                      <w:szCs w:val="18"/>
                    </w:rPr>
                    <w:t>in percentages</w:t>
                  </w:r>
                </w:p>
                <w:p w:rsidR="00280598" w:rsidRDefault="00280598" w:rsidP="00B56B61">
                  <w:pPr>
                    <w:rPr>
                      <w:sz w:val="18"/>
                      <w:szCs w:val="18"/>
                      <w:lang w:val="mk-MK"/>
                    </w:rPr>
                  </w:pPr>
                  <w:r w:rsidRPr="00C72659">
                    <w:rPr>
                      <w:noProof/>
                    </w:rPr>
                    <w:drawing>
                      <wp:inline distT="0" distB="0" distL="0" distR="0">
                        <wp:extent cx="2830663" cy="2449001"/>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4640" cy="2452442"/>
                                </a:xfrm>
                                <a:prstGeom prst="rect">
                                  <a:avLst/>
                                </a:prstGeom>
                                <a:noFill/>
                                <a:ln>
                                  <a:noFill/>
                                </a:ln>
                              </pic:spPr>
                            </pic:pic>
                          </a:graphicData>
                        </a:graphic>
                      </wp:inline>
                    </w:drawing>
                  </w:r>
                </w:p>
                <w:p w:rsidR="00280598" w:rsidRPr="00E8302F" w:rsidRDefault="00280598" w:rsidP="00B56B61">
                  <w:pPr>
                    <w:rPr>
                      <w:sz w:val="18"/>
                      <w:szCs w:val="18"/>
                      <w:lang w:val="mk-MK"/>
                    </w:rPr>
                  </w:pPr>
                  <w:r>
                    <w:rPr>
                      <w:sz w:val="18"/>
                      <w:szCs w:val="18"/>
                    </w:rPr>
                    <w:t>Source</w:t>
                  </w:r>
                  <w:r w:rsidRPr="00E8302F">
                    <w:rPr>
                      <w:sz w:val="18"/>
                      <w:szCs w:val="18"/>
                      <w:lang w:val="mk-MK"/>
                    </w:rPr>
                    <w:t>:</w:t>
                  </w:r>
                  <w:r w:rsidRPr="00E8302F">
                    <w:rPr>
                      <w:rFonts w:cs="Tahoma"/>
                      <w:sz w:val="18"/>
                      <w:szCs w:val="18"/>
                      <w:lang w:val="mk-MK"/>
                    </w:rPr>
                    <w:t xml:space="preserve"> </w:t>
                  </w:r>
                  <w:r>
                    <w:rPr>
                      <w:rFonts w:cs="Tahoma"/>
                      <w:sz w:val="18"/>
                      <w:szCs w:val="18"/>
                    </w:rPr>
                    <w:t>NBRM</w:t>
                  </w:r>
                  <w:r w:rsidRPr="00E8302F">
                    <w:rPr>
                      <w:rFonts w:cs="Tahoma"/>
                      <w:sz w:val="18"/>
                      <w:szCs w:val="18"/>
                      <w:lang w:val="mk-MK"/>
                    </w:rPr>
                    <w:t xml:space="preserve">, </w:t>
                  </w:r>
                  <w:r>
                    <w:rPr>
                      <w:rFonts w:cs="Tahoma"/>
                      <w:sz w:val="18"/>
                      <w:szCs w:val="18"/>
                    </w:rPr>
                    <w:t>based on data submitted by banks</w:t>
                  </w:r>
                  <w:r>
                    <w:rPr>
                      <w:rFonts w:cs="Tahoma"/>
                      <w:sz w:val="18"/>
                      <w:szCs w:val="18"/>
                      <w:lang w:val="mk-MK"/>
                    </w:rPr>
                    <w:t>.</w:t>
                  </w: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Pr="008476D5" w:rsidRDefault="00280598" w:rsidP="00B56B61">
                  <w:pPr>
                    <w:rPr>
                      <w:sz w:val="20"/>
                      <w:szCs w:val="20"/>
                      <w:lang w:val="mk-MK"/>
                    </w:rPr>
                  </w:pPr>
                </w:p>
              </w:txbxContent>
            </v:textbox>
          </v:shape>
        </w:pict>
      </w:r>
    </w:p>
    <w:p w:rsidR="00B56B61" w:rsidRPr="005F1ACB" w:rsidRDefault="00803610" w:rsidP="00B56B61">
      <w:pPr>
        <w:ind w:firstLine="706"/>
        <w:rPr>
          <w:rFonts w:cs="Tahoma"/>
          <w:bCs/>
          <w:lang w:val="en-GB"/>
        </w:rPr>
      </w:pPr>
      <w:r w:rsidRPr="00803610">
        <w:rPr>
          <w:rFonts w:cs="Tahoma"/>
          <w:bCs/>
          <w:noProof/>
          <w:lang w:val="en-GB"/>
        </w:rPr>
        <w:pict>
          <v:shape id="_x0000_s1203" type="#_x0000_t202" style="position:absolute;left:0;text-align:left;margin-left:-236.8pt;margin-top:181.35pt;width:223.2pt;height:271.1pt;z-index:251722752;v-text-anchor:middle" stroked="f" strokecolor="black [3213]">
            <v:textbox style="mso-next-textbox:#_x0000_s1203" inset="0,0,0,0">
              <w:txbxContent>
                <w:p w:rsidR="00280598" w:rsidRPr="00E8302F" w:rsidRDefault="00280598" w:rsidP="00B56B61">
                  <w:pPr>
                    <w:pStyle w:val="Caption"/>
                    <w:rPr>
                      <w:rFonts w:cs="Tahoma"/>
                      <w:b w:val="0"/>
                    </w:rPr>
                  </w:pPr>
                  <w:r>
                    <w:t>Chart</w:t>
                  </w:r>
                  <w:r w:rsidRPr="00E8302F">
                    <w:t xml:space="preserve"> </w:t>
                  </w:r>
                  <w:fldSimple w:instr=" SEQ Графикон_бр. \* ARABIC ">
                    <w:r>
                      <w:rPr>
                        <w:noProof/>
                      </w:rPr>
                      <w:t>56</w:t>
                    </w:r>
                  </w:fldSimple>
                  <w:r w:rsidRPr="00E8302F">
                    <w:rPr>
                      <w:rFonts w:cs="Tahoma"/>
                      <w:lang w:val="mk-MK"/>
                    </w:rPr>
                    <w:t xml:space="preserve"> </w:t>
                  </w:r>
                </w:p>
                <w:p w:rsidR="00280598" w:rsidRPr="00B12CF0" w:rsidRDefault="00280598" w:rsidP="00B56B61">
                  <w:pPr>
                    <w:pStyle w:val="Caption"/>
                    <w:rPr>
                      <w:rFonts w:cs="Tahoma"/>
                      <w:b w:val="0"/>
                    </w:rPr>
                  </w:pPr>
                  <w:r>
                    <w:rPr>
                      <w:rFonts w:cs="Tahoma"/>
                    </w:rPr>
                    <w:t>Statistical measures for capital adequacy ratio by separate bank</w:t>
                  </w:r>
                </w:p>
                <w:p w:rsidR="00280598" w:rsidRPr="00B12CF0" w:rsidRDefault="00280598" w:rsidP="00B56B61">
                  <w:pPr>
                    <w:rPr>
                      <w:sz w:val="18"/>
                      <w:szCs w:val="18"/>
                    </w:rPr>
                  </w:pPr>
                  <w:r>
                    <w:rPr>
                      <w:sz w:val="18"/>
                      <w:szCs w:val="18"/>
                    </w:rPr>
                    <w:t>in percentages</w:t>
                  </w:r>
                </w:p>
                <w:p w:rsidR="00280598" w:rsidRDefault="00280598" w:rsidP="00B56B61">
                  <w:pPr>
                    <w:rPr>
                      <w:sz w:val="18"/>
                      <w:szCs w:val="18"/>
                      <w:lang w:val="mk-MK"/>
                    </w:rPr>
                  </w:pPr>
                  <w:r w:rsidRPr="00000939">
                    <w:rPr>
                      <w:noProof/>
                    </w:rPr>
                    <w:drawing>
                      <wp:inline distT="0" distB="0" distL="0" distR="0">
                        <wp:extent cx="2830664" cy="2631882"/>
                        <wp:effectExtent l="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4640" cy="2635578"/>
                                </a:xfrm>
                                <a:prstGeom prst="rect">
                                  <a:avLst/>
                                </a:prstGeom>
                                <a:noFill/>
                                <a:ln>
                                  <a:noFill/>
                                </a:ln>
                              </pic:spPr>
                            </pic:pic>
                          </a:graphicData>
                        </a:graphic>
                      </wp:inline>
                    </w:drawing>
                  </w:r>
                </w:p>
                <w:p w:rsidR="00280598" w:rsidRPr="00E8302F" w:rsidRDefault="00280598" w:rsidP="00B56B61">
                  <w:pPr>
                    <w:rPr>
                      <w:sz w:val="18"/>
                      <w:szCs w:val="18"/>
                      <w:lang w:val="mk-MK"/>
                    </w:rPr>
                  </w:pPr>
                  <w:r>
                    <w:rPr>
                      <w:sz w:val="18"/>
                      <w:szCs w:val="18"/>
                    </w:rPr>
                    <w:t>Source</w:t>
                  </w:r>
                  <w:r w:rsidRPr="00E8302F">
                    <w:rPr>
                      <w:sz w:val="18"/>
                      <w:szCs w:val="18"/>
                      <w:lang w:val="mk-MK"/>
                    </w:rPr>
                    <w:t>:</w:t>
                  </w:r>
                  <w:r w:rsidRPr="00E8302F">
                    <w:rPr>
                      <w:rFonts w:cs="Tahoma"/>
                      <w:sz w:val="18"/>
                      <w:szCs w:val="18"/>
                      <w:lang w:val="mk-MK"/>
                    </w:rPr>
                    <w:t xml:space="preserve"> </w:t>
                  </w:r>
                  <w:r>
                    <w:rPr>
                      <w:rFonts w:cs="Tahoma"/>
                      <w:sz w:val="18"/>
                      <w:szCs w:val="18"/>
                    </w:rPr>
                    <w:t>NBRM</w:t>
                  </w:r>
                  <w:r w:rsidRPr="00E8302F">
                    <w:rPr>
                      <w:rFonts w:cs="Tahoma"/>
                      <w:sz w:val="18"/>
                      <w:szCs w:val="18"/>
                      <w:lang w:val="mk-MK"/>
                    </w:rPr>
                    <w:t xml:space="preserve">, </w:t>
                  </w:r>
                  <w:r>
                    <w:rPr>
                      <w:rFonts w:cs="Tahoma"/>
                      <w:sz w:val="18"/>
                      <w:szCs w:val="18"/>
                    </w:rPr>
                    <w:t>based on data submitted by banks</w:t>
                  </w:r>
                  <w:r>
                    <w:rPr>
                      <w:rFonts w:cs="Tahoma"/>
                      <w:sz w:val="18"/>
                      <w:szCs w:val="18"/>
                      <w:lang w:val="mk-MK"/>
                    </w:rPr>
                    <w:t>.</w:t>
                  </w: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Pr="008476D5" w:rsidRDefault="00280598" w:rsidP="00B56B61">
                  <w:pPr>
                    <w:rPr>
                      <w:sz w:val="20"/>
                      <w:szCs w:val="20"/>
                      <w:lang w:val="mk-MK"/>
                    </w:rPr>
                  </w:pPr>
                </w:p>
              </w:txbxContent>
            </v:textbox>
          </v:shape>
        </w:pict>
      </w:r>
      <w:r w:rsidR="00B56B61" w:rsidRPr="005F1ACB">
        <w:rPr>
          <w:rFonts w:cs="Tahoma"/>
          <w:bCs/>
          <w:lang w:val="en-GB"/>
        </w:rPr>
        <w:t>With the exception of the risk weighted assets, the components of the banking system's solvency ratios registered slower annual growth. Despite some acceleration in the annual growth rate of risk-weighted assets (first after two years), it is still lower than the annual growth rate of the assets, which suggests further caution of banks in taking risks. In the capital positions of banks, there is a significant difference in the annual growth rate of capital and reserves (increase of 5.7%) versus the core capital (growth of only 3.2%), resulting entirely from the treatment of income for 2012 in one bank</w:t>
      </w:r>
      <w:r w:rsidR="00B56B61" w:rsidRPr="005F1ACB">
        <w:rPr>
          <w:rStyle w:val="FootnoteReference"/>
          <w:rFonts w:cs="Tahoma"/>
          <w:bCs/>
          <w:lang w:val="en-GB"/>
        </w:rPr>
        <w:footnoteReference w:id="44"/>
      </w:r>
      <w:r w:rsidR="00B56B61" w:rsidRPr="005F1ACB">
        <w:rPr>
          <w:rFonts w:cs="Tahoma"/>
          <w:bCs/>
          <w:lang w:val="en-GB"/>
        </w:rPr>
        <w:t>.</w:t>
      </w:r>
    </w:p>
    <w:p w:rsidR="00B56B61" w:rsidRPr="005F1ACB" w:rsidRDefault="00B56B61" w:rsidP="00B56B61">
      <w:pPr>
        <w:ind w:firstLine="706"/>
        <w:rPr>
          <w:rFonts w:cs="Tahoma"/>
          <w:bCs/>
          <w:lang w:val="en-GB"/>
        </w:rPr>
      </w:pPr>
    </w:p>
    <w:p w:rsidR="00B56B61" w:rsidRDefault="00B56B61" w:rsidP="00B56B61">
      <w:pPr>
        <w:ind w:firstLine="706"/>
        <w:rPr>
          <w:rFonts w:cs="Tahoma"/>
          <w:bCs/>
          <w:lang w:val="en-GB"/>
        </w:rPr>
      </w:pPr>
      <w:r w:rsidRPr="005F1ACB">
        <w:rPr>
          <w:rFonts w:cs="Tahoma"/>
          <w:bCs/>
          <w:lang w:val="en-GB"/>
        </w:rPr>
        <w:t>In 2013, the trend of convergence of domestic banks, according to the rate of capital adequacy, continued. Thus, in the analyzed period, the difference between the bank with the highest and the bank with the lowest capital adequacy ratio declined by about 5.5 percentage points, which is the same as the decline in the difference between the first and the third quartile of the capital adequacy ratios of individual banks. The lowest capital adequacy ratio registered in an individual bank rose, and as of December 31, 2013 it exceeded the level of 12% (11.5% as of December 31, 2012).</w:t>
      </w:r>
    </w:p>
    <w:p w:rsidR="00396F33" w:rsidRDefault="00396F33" w:rsidP="00B56B61">
      <w:pPr>
        <w:ind w:firstLine="706"/>
        <w:rPr>
          <w:rFonts w:cs="Tahoma"/>
          <w:bCs/>
          <w:lang w:val="en-GB"/>
        </w:rPr>
      </w:pPr>
    </w:p>
    <w:p w:rsidR="00396F33" w:rsidRDefault="00396F33" w:rsidP="00B56B61">
      <w:pPr>
        <w:ind w:firstLine="706"/>
        <w:rPr>
          <w:rFonts w:cs="Tahoma"/>
          <w:bCs/>
          <w:lang w:val="en-GB"/>
        </w:rPr>
      </w:pPr>
    </w:p>
    <w:p w:rsidR="00396F33" w:rsidRDefault="00396F33" w:rsidP="00B56B61">
      <w:pPr>
        <w:ind w:firstLine="706"/>
        <w:rPr>
          <w:rFonts w:cs="Tahoma"/>
          <w:bCs/>
          <w:lang w:val="en-GB"/>
        </w:rPr>
      </w:pPr>
    </w:p>
    <w:p w:rsidR="00396F33" w:rsidRDefault="00396F33" w:rsidP="00B56B61">
      <w:pPr>
        <w:ind w:firstLine="706"/>
        <w:rPr>
          <w:rFonts w:cs="Tahoma"/>
          <w:bCs/>
          <w:lang w:val="en-GB"/>
        </w:rPr>
      </w:pPr>
    </w:p>
    <w:p w:rsidR="00396F33" w:rsidRDefault="00396F33" w:rsidP="00B56B61">
      <w:pPr>
        <w:ind w:firstLine="706"/>
        <w:rPr>
          <w:rFonts w:cs="Tahoma"/>
          <w:bCs/>
          <w:lang w:val="en-GB"/>
        </w:rPr>
      </w:pPr>
    </w:p>
    <w:p w:rsidR="00396F33" w:rsidRDefault="00396F33" w:rsidP="00B56B61">
      <w:pPr>
        <w:ind w:firstLine="706"/>
        <w:rPr>
          <w:rFonts w:cs="Tahoma"/>
          <w:bCs/>
          <w:lang w:val="en-GB"/>
        </w:rPr>
      </w:pPr>
    </w:p>
    <w:p w:rsidR="00396F33" w:rsidRDefault="00396F33" w:rsidP="00B56B61">
      <w:pPr>
        <w:ind w:firstLine="706"/>
        <w:rPr>
          <w:rFonts w:cs="Tahoma"/>
          <w:bCs/>
          <w:lang w:val="en-GB"/>
        </w:rPr>
      </w:pPr>
    </w:p>
    <w:p w:rsidR="00396F33" w:rsidRDefault="00396F33" w:rsidP="00B56B61">
      <w:pPr>
        <w:ind w:firstLine="706"/>
        <w:rPr>
          <w:rFonts w:cs="Tahoma"/>
          <w:bCs/>
          <w:lang w:val="en-GB"/>
        </w:rPr>
      </w:pPr>
    </w:p>
    <w:p w:rsidR="00396F33" w:rsidRDefault="00396F33" w:rsidP="00B56B61">
      <w:pPr>
        <w:ind w:firstLine="706"/>
        <w:rPr>
          <w:rFonts w:cs="Tahoma"/>
          <w:bCs/>
          <w:lang w:val="en-GB"/>
        </w:rPr>
      </w:pPr>
    </w:p>
    <w:p w:rsidR="00396F33" w:rsidRDefault="00396F33" w:rsidP="00B56B61">
      <w:pPr>
        <w:ind w:firstLine="706"/>
        <w:rPr>
          <w:rFonts w:cs="Tahoma"/>
          <w:bCs/>
          <w:lang w:val="en-GB"/>
        </w:rPr>
      </w:pPr>
    </w:p>
    <w:p w:rsidR="00396F33" w:rsidRPr="005F1ACB" w:rsidRDefault="00396F33"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803610" w:rsidP="00B56B61">
      <w:pPr>
        <w:ind w:firstLine="706"/>
        <w:rPr>
          <w:rFonts w:cs="Tahoma"/>
          <w:bCs/>
          <w:lang w:val="en-GB"/>
        </w:rPr>
      </w:pPr>
      <w:r w:rsidRPr="00803610">
        <w:rPr>
          <w:rFonts w:cs="Tahoma"/>
          <w:bCs/>
          <w:noProof/>
          <w:lang w:val="en-GB"/>
        </w:rPr>
        <w:lastRenderedPageBreak/>
        <w:pict>
          <v:shape id="_x0000_s1204" type="#_x0000_t202" style="position:absolute;left:0;text-align:left;margin-left:-234pt;margin-top:-4.35pt;width:223.2pt;height:262.5pt;z-index:251723776;v-text-anchor:middle" stroked="f" strokecolor="black [3213]">
            <v:textbox style="mso-next-textbox:#_x0000_s1204" inset="0,0,0,0">
              <w:txbxContent>
                <w:p w:rsidR="00280598" w:rsidRPr="00E8302F" w:rsidRDefault="00280598" w:rsidP="00B56B61">
                  <w:pPr>
                    <w:pStyle w:val="Caption"/>
                    <w:rPr>
                      <w:rFonts w:cs="Tahoma"/>
                      <w:b w:val="0"/>
                    </w:rPr>
                  </w:pPr>
                  <w:r>
                    <w:t>Chart</w:t>
                  </w:r>
                  <w:r w:rsidRPr="00E8302F">
                    <w:t xml:space="preserve"> </w:t>
                  </w:r>
                  <w:fldSimple w:instr=" SEQ Графикон_бр. \* ARABIC ">
                    <w:r>
                      <w:rPr>
                        <w:noProof/>
                      </w:rPr>
                      <w:t>57</w:t>
                    </w:r>
                  </w:fldSimple>
                  <w:r w:rsidRPr="00E8302F">
                    <w:rPr>
                      <w:rFonts w:cs="Tahoma"/>
                      <w:lang w:val="mk-MK"/>
                    </w:rPr>
                    <w:t xml:space="preserve"> </w:t>
                  </w:r>
                </w:p>
                <w:p w:rsidR="00280598" w:rsidRPr="00B12CF0" w:rsidRDefault="00280598" w:rsidP="00B56B61">
                  <w:pPr>
                    <w:pStyle w:val="Caption"/>
                    <w:rPr>
                      <w:rFonts w:cs="Tahoma"/>
                      <w:b w:val="0"/>
                    </w:rPr>
                  </w:pPr>
                  <w:r>
                    <w:rPr>
                      <w:rFonts w:cs="Tahoma"/>
                    </w:rPr>
                    <w:t>Capital adequacy ratio, by country</w:t>
                  </w:r>
                </w:p>
                <w:p w:rsidR="00280598" w:rsidRPr="00B12CF0" w:rsidRDefault="00280598" w:rsidP="00B56B61">
                  <w:pPr>
                    <w:rPr>
                      <w:sz w:val="18"/>
                      <w:szCs w:val="18"/>
                    </w:rPr>
                  </w:pPr>
                  <w:r>
                    <w:rPr>
                      <w:sz w:val="18"/>
                      <w:szCs w:val="18"/>
                    </w:rPr>
                    <w:t>in percentages</w:t>
                  </w:r>
                </w:p>
                <w:p w:rsidR="00280598" w:rsidRDefault="00280598" w:rsidP="00B56B61">
                  <w:pPr>
                    <w:rPr>
                      <w:sz w:val="18"/>
                      <w:szCs w:val="18"/>
                      <w:lang w:val="mk-MK"/>
                    </w:rPr>
                  </w:pPr>
                  <w:r w:rsidRPr="00304A9A">
                    <w:rPr>
                      <w:noProof/>
                    </w:rPr>
                    <w:drawing>
                      <wp:inline distT="0" distB="0" distL="0" distR="0">
                        <wp:extent cx="2830664" cy="2282024"/>
                        <wp:effectExtent l="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4640" cy="2285230"/>
                                </a:xfrm>
                                <a:prstGeom prst="rect">
                                  <a:avLst/>
                                </a:prstGeom>
                                <a:noFill/>
                                <a:ln>
                                  <a:noFill/>
                                </a:ln>
                              </pic:spPr>
                            </pic:pic>
                          </a:graphicData>
                        </a:graphic>
                      </wp:inline>
                    </w:drawing>
                  </w:r>
                </w:p>
                <w:p w:rsidR="00280598" w:rsidRDefault="00280598" w:rsidP="00B56B61">
                  <w:pPr>
                    <w:rPr>
                      <w:rFonts w:cs="Tahoma"/>
                      <w:sz w:val="18"/>
                      <w:szCs w:val="18"/>
                    </w:rPr>
                  </w:pPr>
                  <w:r>
                    <w:rPr>
                      <w:sz w:val="18"/>
                      <w:szCs w:val="18"/>
                    </w:rPr>
                    <w:t>Source</w:t>
                  </w:r>
                  <w:r w:rsidRPr="00E8302F">
                    <w:rPr>
                      <w:sz w:val="18"/>
                      <w:szCs w:val="18"/>
                      <w:lang w:val="mk-MK"/>
                    </w:rPr>
                    <w:t>:</w:t>
                  </w:r>
                  <w:r w:rsidRPr="00E8302F">
                    <w:rPr>
                      <w:rFonts w:cs="Tahoma"/>
                      <w:sz w:val="18"/>
                      <w:szCs w:val="18"/>
                      <w:lang w:val="mk-MK"/>
                    </w:rPr>
                    <w:t xml:space="preserve"> </w:t>
                  </w:r>
                  <w:r>
                    <w:rPr>
                      <w:rFonts w:cs="Tahoma"/>
                      <w:sz w:val="18"/>
                      <w:szCs w:val="18"/>
                    </w:rPr>
                    <w:t>NBRM</w:t>
                  </w:r>
                  <w:r w:rsidRPr="00E8302F">
                    <w:rPr>
                      <w:rFonts w:cs="Tahoma"/>
                      <w:sz w:val="18"/>
                      <w:szCs w:val="18"/>
                      <w:lang w:val="mk-MK"/>
                    </w:rPr>
                    <w:t xml:space="preserve">, </w:t>
                  </w:r>
                  <w:r>
                    <w:rPr>
                      <w:rFonts w:cs="Tahoma"/>
                      <w:sz w:val="18"/>
                      <w:szCs w:val="18"/>
                    </w:rPr>
                    <w:t>based on data submitted by banks, websites of IMF and central banks</w:t>
                  </w:r>
                </w:p>
                <w:p w:rsidR="00280598" w:rsidRPr="00396F33" w:rsidRDefault="00280598" w:rsidP="00B56B61">
                  <w:pPr>
                    <w:rPr>
                      <w:sz w:val="18"/>
                      <w:szCs w:val="18"/>
                    </w:rPr>
                  </w:pPr>
                  <w:r>
                    <w:rPr>
                      <w:rFonts w:cs="Tahoma"/>
                      <w:sz w:val="18"/>
                      <w:szCs w:val="18"/>
                    </w:rPr>
                    <w:t>Note: Data refer to as of 30.9.2013, except for Macedonia (31.12.2013) and Montenegro (30.6.2013)</w:t>
                  </w: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Pr="008476D5" w:rsidRDefault="00280598" w:rsidP="00B56B61">
                  <w:pPr>
                    <w:rPr>
                      <w:sz w:val="20"/>
                      <w:szCs w:val="20"/>
                      <w:lang w:val="mk-MK"/>
                    </w:rPr>
                  </w:pPr>
                </w:p>
              </w:txbxContent>
            </v:textbox>
          </v:shape>
        </w:pict>
      </w:r>
      <w:r w:rsidR="00B56B61" w:rsidRPr="005F1ACB">
        <w:rPr>
          <w:rFonts w:cs="Tahoma"/>
          <w:bCs/>
          <w:lang w:val="en-GB"/>
        </w:rPr>
        <w:t xml:space="preserve">According to the capital adequacy ratio, the banking system of the Republic of Macedonia is located in the middle of the list of twenty analyzed countries. Banking systems of Greece and Slovenia have had lower capital adequacy for a longer period, while significantly higher capital adequacy ratios are specific to the banking systems of Croatia and Serbia. Capital adequacy of the banking system of the Republic of Macedonia is by 0.7 percentage points higher than the calculated mean value for the banking systems of all analyzed countries.  </w:t>
      </w:r>
    </w:p>
    <w:p w:rsidR="00B56B61" w:rsidRPr="005F1ACB" w:rsidRDefault="00B56B61" w:rsidP="00B56B61">
      <w:pPr>
        <w:ind w:firstLine="544"/>
        <w:rPr>
          <w:rFonts w:cs="Tahoma"/>
          <w:bCs/>
          <w:lang w:val="en-GB"/>
        </w:rPr>
      </w:pPr>
    </w:p>
    <w:p w:rsidR="00B56B61" w:rsidRPr="00F70592" w:rsidRDefault="00B56B61" w:rsidP="00C5550A">
      <w:pPr>
        <w:pStyle w:val="Heading3"/>
      </w:pPr>
      <w:bookmarkStart w:id="66" w:name="_Toc393283599"/>
      <w:r w:rsidRPr="00F70592">
        <w:t>Movements and quality of own funds of the banking system</w:t>
      </w:r>
      <w:bookmarkEnd w:id="66"/>
    </w:p>
    <w:p w:rsidR="00B56B61" w:rsidRPr="005F1ACB" w:rsidRDefault="00B56B61" w:rsidP="00B56B61">
      <w:pPr>
        <w:ind w:firstLine="709"/>
        <w:rPr>
          <w:rFonts w:cs="Tahoma"/>
          <w:b/>
          <w:bCs/>
          <w:lang w:val="en-GB"/>
        </w:rPr>
      </w:pPr>
    </w:p>
    <w:p w:rsidR="00B56B61" w:rsidRPr="005F1ACB" w:rsidRDefault="00803610" w:rsidP="00B56B61">
      <w:pPr>
        <w:ind w:firstLine="709"/>
        <w:rPr>
          <w:rFonts w:cs="Tahoma"/>
          <w:bCs/>
          <w:lang w:val="en-GB"/>
        </w:rPr>
      </w:pPr>
      <w:r w:rsidRPr="00803610">
        <w:rPr>
          <w:rFonts w:cs="Tahoma"/>
          <w:bCs/>
          <w:noProof/>
          <w:lang w:val="en-GB"/>
        </w:rPr>
        <w:pict>
          <v:shape id="_x0000_s1205" type="#_x0000_t202" style="position:absolute;left:0;text-align:left;margin-left:-234pt;margin-top:102.75pt;width:223.2pt;height:274.5pt;z-index:251724800;v-text-anchor:middle" stroked="f" strokecolor="black [3213]">
            <v:textbox style="mso-next-textbox:#_x0000_s1205" inset="0,0,0,0">
              <w:txbxContent>
                <w:p w:rsidR="00280598" w:rsidRPr="00E8302F" w:rsidRDefault="00280598" w:rsidP="00B56B61">
                  <w:pPr>
                    <w:pStyle w:val="Caption"/>
                    <w:rPr>
                      <w:rFonts w:cs="Tahoma"/>
                      <w:b w:val="0"/>
                    </w:rPr>
                  </w:pPr>
                  <w:r>
                    <w:t>Chart</w:t>
                  </w:r>
                  <w:r w:rsidRPr="00E8302F">
                    <w:t xml:space="preserve"> </w:t>
                  </w:r>
                  <w:fldSimple w:instr=" SEQ Графикон_бр. \* ARABIC ">
                    <w:r>
                      <w:rPr>
                        <w:noProof/>
                      </w:rPr>
                      <w:t>58</w:t>
                    </w:r>
                  </w:fldSimple>
                  <w:r w:rsidRPr="00E8302F">
                    <w:rPr>
                      <w:rFonts w:cs="Tahoma"/>
                      <w:lang w:val="mk-MK"/>
                    </w:rPr>
                    <w:t xml:space="preserve"> </w:t>
                  </w:r>
                </w:p>
                <w:p w:rsidR="00280598" w:rsidRPr="00B12CF0" w:rsidRDefault="00280598" w:rsidP="00B56B61">
                  <w:pPr>
                    <w:pStyle w:val="Caption"/>
                    <w:rPr>
                      <w:rFonts w:cs="Tahoma"/>
                      <w:b w:val="0"/>
                    </w:rPr>
                  </w:pPr>
                  <w:r>
                    <w:rPr>
                      <w:rFonts w:cs="Tahoma"/>
                    </w:rPr>
                    <w:t>Structure of annual changes of regulatory capital</w:t>
                  </w:r>
                </w:p>
                <w:p w:rsidR="00280598" w:rsidRPr="00B12CF0" w:rsidRDefault="00280598" w:rsidP="00B56B61">
                  <w:pPr>
                    <w:rPr>
                      <w:sz w:val="18"/>
                      <w:szCs w:val="18"/>
                    </w:rPr>
                  </w:pPr>
                  <w:r>
                    <w:rPr>
                      <w:sz w:val="18"/>
                      <w:szCs w:val="18"/>
                    </w:rPr>
                    <w:t>in millions of Denars                             in percentages</w:t>
                  </w:r>
                </w:p>
                <w:p w:rsidR="00280598" w:rsidRDefault="00280598" w:rsidP="00B56B61">
                  <w:pPr>
                    <w:rPr>
                      <w:sz w:val="18"/>
                      <w:szCs w:val="18"/>
                      <w:lang w:val="mk-MK"/>
                    </w:rPr>
                  </w:pPr>
                  <w:r w:rsidRPr="000350CA">
                    <w:rPr>
                      <w:noProof/>
                    </w:rPr>
                    <w:drawing>
                      <wp:inline distT="0" distB="0" distL="0" distR="0">
                        <wp:extent cx="2830663" cy="2655736"/>
                        <wp:effectExtent l="0" t="0" r="0"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4640" cy="2659467"/>
                                </a:xfrm>
                                <a:prstGeom prst="rect">
                                  <a:avLst/>
                                </a:prstGeom>
                                <a:noFill/>
                                <a:ln>
                                  <a:noFill/>
                                </a:ln>
                              </pic:spPr>
                            </pic:pic>
                          </a:graphicData>
                        </a:graphic>
                      </wp:inline>
                    </w:drawing>
                  </w:r>
                </w:p>
                <w:p w:rsidR="00280598" w:rsidRDefault="00280598" w:rsidP="00B56B61">
                  <w:pPr>
                    <w:rPr>
                      <w:rFonts w:cs="Tahoma"/>
                      <w:sz w:val="18"/>
                      <w:szCs w:val="18"/>
                    </w:rPr>
                  </w:pPr>
                  <w:r>
                    <w:rPr>
                      <w:sz w:val="18"/>
                      <w:szCs w:val="18"/>
                    </w:rPr>
                    <w:t>Source</w:t>
                  </w:r>
                  <w:r w:rsidRPr="00E8302F">
                    <w:rPr>
                      <w:sz w:val="18"/>
                      <w:szCs w:val="18"/>
                      <w:lang w:val="mk-MK"/>
                    </w:rPr>
                    <w:t>:</w:t>
                  </w:r>
                  <w:r w:rsidRPr="00E8302F">
                    <w:rPr>
                      <w:rFonts w:cs="Tahoma"/>
                      <w:sz w:val="18"/>
                      <w:szCs w:val="18"/>
                      <w:lang w:val="mk-MK"/>
                    </w:rPr>
                    <w:t xml:space="preserve"> </w:t>
                  </w:r>
                  <w:r>
                    <w:rPr>
                      <w:rFonts w:cs="Tahoma"/>
                      <w:sz w:val="18"/>
                      <w:szCs w:val="18"/>
                    </w:rPr>
                    <w:t>NBRM</w:t>
                  </w:r>
                  <w:r w:rsidRPr="00E8302F">
                    <w:rPr>
                      <w:rFonts w:cs="Tahoma"/>
                      <w:sz w:val="18"/>
                      <w:szCs w:val="18"/>
                      <w:lang w:val="mk-MK"/>
                    </w:rPr>
                    <w:t xml:space="preserve">, </w:t>
                  </w:r>
                  <w:r>
                    <w:rPr>
                      <w:rFonts w:cs="Tahoma"/>
                      <w:sz w:val="18"/>
                      <w:szCs w:val="18"/>
                    </w:rPr>
                    <w:t>based on data submitted by banks.</w:t>
                  </w: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Pr="008476D5" w:rsidRDefault="00280598" w:rsidP="00B56B61">
                  <w:pPr>
                    <w:rPr>
                      <w:sz w:val="20"/>
                      <w:szCs w:val="20"/>
                      <w:lang w:val="mk-MK"/>
                    </w:rPr>
                  </w:pPr>
                </w:p>
              </w:txbxContent>
            </v:textbox>
          </v:shape>
        </w:pict>
      </w:r>
      <w:r w:rsidR="00B56B61" w:rsidRPr="005F1ACB">
        <w:rPr>
          <w:rFonts w:cs="Tahoma"/>
          <w:bCs/>
          <w:lang w:val="en-GB"/>
        </w:rPr>
        <w:t xml:space="preserve">In 2013, the </w:t>
      </w:r>
      <w:r w:rsidR="00B56B61">
        <w:rPr>
          <w:rFonts w:cs="Tahoma"/>
          <w:bCs/>
          <w:lang w:val="en-GB"/>
        </w:rPr>
        <w:t>own funds</w:t>
      </w:r>
      <w:r w:rsidR="00B56B61" w:rsidRPr="005F1ACB">
        <w:rPr>
          <w:rFonts w:cs="Tahoma"/>
          <w:bCs/>
          <w:lang w:val="en-GB"/>
        </w:rPr>
        <w:t xml:space="preserve"> </w:t>
      </w:r>
      <w:r w:rsidR="00B56B61">
        <w:rPr>
          <w:rFonts w:cs="Tahoma"/>
          <w:bCs/>
          <w:lang w:val="en-GB"/>
        </w:rPr>
        <w:t xml:space="preserve">(or regulatory capital) </w:t>
      </w:r>
      <w:r w:rsidR="00B56B61" w:rsidRPr="005F1ACB">
        <w:rPr>
          <w:rFonts w:cs="Tahoma"/>
          <w:bCs/>
          <w:lang w:val="en-GB"/>
        </w:rPr>
        <w:t>of the banking system rose by 1.038 million (or 2.3%), which is one of the more modest achievements in the last ten years. In the absence of more significant amounts of recapitalization, the banks were mainly oriented towards internal creating of capital. Reinvested earnings generated in 2012, are the most important source of increasing the own funds of the banking system in 2013 (amounting to Denar 1,346 million). Also, the current loss for 2013 (in the amount of Denar 176 million) is by about five times smaller than the loss incurred in 2012. In 2013, there was a complete absence of new issues of shares, but three banks</w:t>
      </w:r>
      <w:r w:rsidR="00B56B61" w:rsidRPr="005F1ACB">
        <w:rPr>
          <w:rStyle w:val="FootnoteReference"/>
          <w:rFonts w:cs="Tahoma"/>
          <w:bCs/>
          <w:lang w:val="en-GB"/>
        </w:rPr>
        <w:footnoteReference w:id="45"/>
      </w:r>
      <w:r w:rsidR="00B56B61" w:rsidRPr="005F1ACB">
        <w:rPr>
          <w:rFonts w:cs="Tahoma"/>
          <w:bCs/>
          <w:lang w:val="en-GB"/>
        </w:rPr>
        <w:t xml:space="preserve"> issued new subordinated instruments, totalling Denar 561 million. However, the permitted amount of subordinated instruments that are part of the own funds, fell by Denar 397 million, resulting from the inclusion of part of the subordinated instruments in the calculation of own funds at discounted value (due to entering of the instruments in the last five years to maturity)</w:t>
      </w:r>
      <w:r w:rsidR="00B56B61" w:rsidRPr="005F1ACB">
        <w:rPr>
          <w:rStyle w:val="FootnoteReference"/>
          <w:rFonts w:cs="Tahoma"/>
          <w:bCs/>
          <w:lang w:val="en-GB"/>
        </w:rPr>
        <w:footnoteReference w:id="46"/>
      </w:r>
      <w:r w:rsidR="00B56B61" w:rsidRPr="005F1ACB">
        <w:rPr>
          <w:rFonts w:cs="Tahoma"/>
          <w:bCs/>
          <w:lang w:val="en-GB"/>
        </w:rPr>
        <w:t xml:space="preserve">, and the early repayment of a subordinated instrument by one bank. Revaluation reserves contributed somewhat to the annual growth of the banking system's own funds (about 27%), which in 2013 were formed by the closed </w:t>
      </w:r>
      <w:r w:rsidR="00B56B61" w:rsidRPr="005F1ACB">
        <w:rPr>
          <w:rFonts w:cs="Tahoma"/>
          <w:bCs/>
          <w:lang w:val="en-GB"/>
        </w:rPr>
        <w:lastRenderedPageBreak/>
        <w:t>impairment of claims that were collected by foreclosure</w:t>
      </w:r>
      <w:r w:rsidR="00B56B61" w:rsidRPr="005F1ACB">
        <w:rPr>
          <w:rStyle w:val="FootnoteReference"/>
          <w:rFonts w:cs="Tahoma"/>
          <w:bCs/>
          <w:lang w:val="en-GB"/>
        </w:rPr>
        <w:footnoteReference w:id="47"/>
      </w:r>
      <w:r w:rsidR="00B56B61" w:rsidRPr="005F1ACB">
        <w:rPr>
          <w:rFonts w:cs="Tahoma"/>
          <w:bCs/>
          <w:lang w:val="en-GB"/>
        </w:rPr>
        <w:t>.</w:t>
      </w:r>
    </w:p>
    <w:p w:rsidR="00B56B61" w:rsidRPr="005F1ACB" w:rsidRDefault="00803610" w:rsidP="00B56B61">
      <w:pPr>
        <w:ind w:firstLine="709"/>
        <w:rPr>
          <w:rFonts w:cs="Tahoma"/>
          <w:bCs/>
          <w:lang w:val="en-GB"/>
        </w:rPr>
      </w:pPr>
      <w:r w:rsidRPr="00803610">
        <w:rPr>
          <w:rFonts w:cs="Tahoma"/>
          <w:bCs/>
          <w:noProof/>
          <w:lang w:val="en-GB"/>
        </w:rPr>
        <w:pict>
          <v:shape id="_x0000_s1206" type="#_x0000_t202" style="position:absolute;left:0;text-align:left;margin-left:-233.6pt;margin-top:-33.15pt;width:223.2pt;height:289.5pt;z-index:251725824;v-text-anchor:middle" stroked="f" strokecolor="black [3213]">
            <v:textbox style="mso-next-textbox:#_x0000_s1206" inset="0,0,0,0">
              <w:txbxContent>
                <w:p w:rsidR="00280598" w:rsidRPr="00E8302F" w:rsidRDefault="00280598" w:rsidP="00B56B61">
                  <w:pPr>
                    <w:pStyle w:val="Caption"/>
                    <w:rPr>
                      <w:rFonts w:cs="Tahoma"/>
                      <w:b w:val="0"/>
                    </w:rPr>
                  </w:pPr>
                  <w:r>
                    <w:t>Chart</w:t>
                  </w:r>
                  <w:r w:rsidRPr="00E8302F">
                    <w:t xml:space="preserve"> </w:t>
                  </w:r>
                  <w:fldSimple w:instr=" SEQ Графикон_бр. \* ARABIC ">
                    <w:r>
                      <w:rPr>
                        <w:noProof/>
                      </w:rPr>
                      <w:t>59</w:t>
                    </w:r>
                  </w:fldSimple>
                  <w:r w:rsidRPr="00E8302F">
                    <w:rPr>
                      <w:rFonts w:cs="Tahoma"/>
                      <w:lang w:val="mk-MK"/>
                    </w:rPr>
                    <w:t xml:space="preserve"> </w:t>
                  </w:r>
                </w:p>
                <w:p w:rsidR="00280598" w:rsidRPr="00B12CF0" w:rsidRDefault="00280598" w:rsidP="00B56B61">
                  <w:pPr>
                    <w:pStyle w:val="Caption"/>
                    <w:rPr>
                      <w:rFonts w:cs="Tahoma"/>
                      <w:b w:val="0"/>
                    </w:rPr>
                  </w:pPr>
                  <w:r>
                    <w:rPr>
                      <w:rFonts w:cs="Tahoma"/>
                    </w:rPr>
                    <w:t>Maturity structure of issued subordinated instruments</w:t>
                  </w:r>
                </w:p>
                <w:p w:rsidR="00280598" w:rsidRPr="00B12CF0" w:rsidRDefault="00280598" w:rsidP="00B56B61">
                  <w:pPr>
                    <w:rPr>
                      <w:sz w:val="18"/>
                      <w:szCs w:val="18"/>
                    </w:rPr>
                  </w:pPr>
                  <w:r>
                    <w:rPr>
                      <w:sz w:val="18"/>
                      <w:szCs w:val="18"/>
                    </w:rPr>
                    <w:t>in percentages</w:t>
                  </w:r>
                </w:p>
                <w:p w:rsidR="00280598" w:rsidRDefault="00280598" w:rsidP="00B56B61">
                  <w:pPr>
                    <w:rPr>
                      <w:sz w:val="18"/>
                      <w:szCs w:val="18"/>
                      <w:lang w:val="mk-MK"/>
                    </w:rPr>
                  </w:pPr>
                  <w:r w:rsidRPr="000350CA">
                    <w:rPr>
                      <w:noProof/>
                    </w:rPr>
                    <w:drawing>
                      <wp:inline distT="0" distB="0" distL="0" distR="0">
                        <wp:extent cx="2830664" cy="2894275"/>
                        <wp:effectExtent l="0" t="0" r="0" b="0"/>
                        <wp:docPr id="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4640" cy="2898340"/>
                                </a:xfrm>
                                <a:prstGeom prst="rect">
                                  <a:avLst/>
                                </a:prstGeom>
                                <a:noFill/>
                                <a:ln>
                                  <a:noFill/>
                                </a:ln>
                              </pic:spPr>
                            </pic:pic>
                          </a:graphicData>
                        </a:graphic>
                      </wp:inline>
                    </w:drawing>
                  </w:r>
                </w:p>
                <w:p w:rsidR="00280598" w:rsidRDefault="00280598" w:rsidP="00B56B61">
                  <w:pPr>
                    <w:rPr>
                      <w:rFonts w:cs="Tahoma"/>
                      <w:sz w:val="18"/>
                      <w:szCs w:val="18"/>
                    </w:rPr>
                  </w:pPr>
                  <w:r>
                    <w:rPr>
                      <w:sz w:val="18"/>
                      <w:szCs w:val="18"/>
                    </w:rPr>
                    <w:t>Source</w:t>
                  </w:r>
                  <w:r w:rsidRPr="00E8302F">
                    <w:rPr>
                      <w:sz w:val="18"/>
                      <w:szCs w:val="18"/>
                      <w:lang w:val="mk-MK"/>
                    </w:rPr>
                    <w:t>:</w:t>
                  </w:r>
                  <w:r w:rsidRPr="00E8302F">
                    <w:rPr>
                      <w:rFonts w:cs="Tahoma"/>
                      <w:sz w:val="18"/>
                      <w:szCs w:val="18"/>
                      <w:lang w:val="mk-MK"/>
                    </w:rPr>
                    <w:t xml:space="preserve"> </w:t>
                  </w:r>
                  <w:r>
                    <w:rPr>
                      <w:rFonts w:cs="Tahoma"/>
                      <w:sz w:val="18"/>
                      <w:szCs w:val="18"/>
                    </w:rPr>
                    <w:t>NBRM</w:t>
                  </w:r>
                  <w:r w:rsidRPr="00E8302F">
                    <w:rPr>
                      <w:rFonts w:cs="Tahoma"/>
                      <w:sz w:val="18"/>
                      <w:szCs w:val="18"/>
                      <w:lang w:val="mk-MK"/>
                    </w:rPr>
                    <w:t xml:space="preserve">, </w:t>
                  </w:r>
                  <w:r>
                    <w:rPr>
                      <w:rFonts w:cs="Tahoma"/>
                      <w:sz w:val="18"/>
                      <w:szCs w:val="18"/>
                    </w:rPr>
                    <w:t>based on data submitted by banks.</w:t>
                  </w: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Pr="008476D5" w:rsidRDefault="00280598" w:rsidP="00B56B61">
                  <w:pPr>
                    <w:rPr>
                      <w:sz w:val="20"/>
                      <w:szCs w:val="20"/>
                      <w:lang w:val="mk-MK"/>
                    </w:rPr>
                  </w:pPr>
                </w:p>
              </w:txbxContent>
            </v:textbox>
          </v:shape>
        </w:pict>
      </w:r>
    </w:p>
    <w:p w:rsidR="00B56B61" w:rsidRPr="005F1ACB" w:rsidRDefault="00B56B61" w:rsidP="00B56B61">
      <w:pPr>
        <w:ind w:firstLine="709"/>
        <w:rPr>
          <w:rFonts w:cs="Tahoma"/>
          <w:bCs/>
          <w:lang w:val="en-GB"/>
        </w:rPr>
      </w:pPr>
      <w:r w:rsidRPr="005F1ACB">
        <w:rPr>
          <w:rFonts w:cs="Tahoma"/>
          <w:bCs/>
          <w:lang w:val="en-GB"/>
        </w:rPr>
        <w:t xml:space="preserve">The structure of the banking system's own funds is of good quality, given that the core capital </w:t>
      </w:r>
      <w:r>
        <w:rPr>
          <w:rFonts w:cs="Tahoma"/>
          <w:bCs/>
          <w:lang w:val="en-GB"/>
        </w:rPr>
        <w:t xml:space="preserve">(or tier 1 capital) </w:t>
      </w:r>
      <w:r w:rsidRPr="005F1ACB">
        <w:rPr>
          <w:rFonts w:cs="Tahoma"/>
          <w:bCs/>
          <w:lang w:val="en-GB"/>
        </w:rPr>
        <w:t>accounts for over 85% of total own funds. However, analyzed by individual banks, there is a more pronounced presence of supplementary capital in some banks (primarily in the form of subordinated liabilities), indicating slightly higher level of indebtedness among these banks.</w:t>
      </w: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803610" w:rsidP="00B56B61">
      <w:pPr>
        <w:ind w:firstLine="709"/>
        <w:rPr>
          <w:rFonts w:cs="Tahoma"/>
          <w:bCs/>
          <w:lang w:val="en-GB"/>
        </w:rPr>
      </w:pPr>
      <w:r w:rsidRPr="00803610">
        <w:rPr>
          <w:rFonts w:cs="Tahoma"/>
          <w:bCs/>
          <w:noProof/>
          <w:lang w:val="en-GB"/>
        </w:rPr>
        <w:pict>
          <v:shape id="_x0000_s1207" type="#_x0000_t202" style="position:absolute;left:0;text-align:left;margin-left:-233.6pt;margin-top:4.1pt;width:469.1pt;height:299.25pt;z-index:251726848;v-text-anchor:middle" stroked="f" strokecolor="black [3213]">
            <v:textbox style="mso-next-textbox:#_x0000_s1207" inset="0,0,0,0">
              <w:txbxContent>
                <w:p w:rsidR="00280598" w:rsidRPr="00E8302F" w:rsidRDefault="00280598" w:rsidP="00B56B61">
                  <w:pPr>
                    <w:pStyle w:val="Caption"/>
                    <w:rPr>
                      <w:rFonts w:cs="Tahoma"/>
                      <w:b w:val="0"/>
                    </w:rPr>
                  </w:pPr>
                  <w:r>
                    <w:t>Chart</w:t>
                  </w:r>
                  <w:r w:rsidRPr="00E8302F">
                    <w:t xml:space="preserve"> </w:t>
                  </w:r>
                  <w:fldSimple w:instr=" SEQ Графикон_бр. \* ARABIC ">
                    <w:r>
                      <w:rPr>
                        <w:noProof/>
                      </w:rPr>
                      <w:t>60</w:t>
                    </w:r>
                  </w:fldSimple>
                  <w:r w:rsidRPr="00E8302F">
                    <w:rPr>
                      <w:rFonts w:cs="Tahoma"/>
                      <w:lang w:val="mk-MK"/>
                    </w:rPr>
                    <w:t xml:space="preserve"> </w:t>
                  </w:r>
                </w:p>
                <w:p w:rsidR="00280598" w:rsidRPr="00B12CF0" w:rsidRDefault="00280598" w:rsidP="00B56B61">
                  <w:pPr>
                    <w:pStyle w:val="Caption"/>
                    <w:rPr>
                      <w:rFonts w:cs="Tahoma"/>
                      <w:b w:val="0"/>
                    </w:rPr>
                  </w:pPr>
                  <w:r>
                    <w:rPr>
                      <w:rFonts w:cs="Tahoma"/>
                    </w:rPr>
                    <w:t>Structure of regulatory capital before deductible items of tier 1 and tier 2 (supplementary) capital* (left); leverage ratio and share of tier 2 capital in regulatory capital by separate banks, as of 31.12.2013 (right)</w:t>
                  </w:r>
                </w:p>
                <w:p w:rsidR="00280598" w:rsidRPr="00B12CF0" w:rsidRDefault="00280598" w:rsidP="00B56B61">
                  <w:pPr>
                    <w:rPr>
                      <w:sz w:val="18"/>
                      <w:szCs w:val="18"/>
                    </w:rPr>
                  </w:pPr>
                  <w:r>
                    <w:rPr>
                      <w:sz w:val="18"/>
                      <w:szCs w:val="18"/>
                    </w:rPr>
                    <w:t>in percentages                                                                 in percentages</w:t>
                  </w:r>
                </w:p>
                <w:p w:rsidR="00280598" w:rsidRDefault="00280598" w:rsidP="00B56B61">
                  <w:pPr>
                    <w:rPr>
                      <w:sz w:val="18"/>
                      <w:szCs w:val="18"/>
                      <w:lang w:val="mk-MK"/>
                    </w:rPr>
                  </w:pPr>
                  <w:r w:rsidRPr="00F20493">
                    <w:rPr>
                      <w:noProof/>
                    </w:rPr>
                    <w:drawing>
                      <wp:inline distT="0" distB="0" distL="0" distR="0">
                        <wp:extent cx="5905500" cy="276225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9911" cy="2764313"/>
                                </a:xfrm>
                                <a:prstGeom prst="rect">
                                  <a:avLst/>
                                </a:prstGeom>
                                <a:noFill/>
                                <a:ln>
                                  <a:noFill/>
                                </a:ln>
                              </pic:spPr>
                            </pic:pic>
                          </a:graphicData>
                        </a:graphic>
                      </wp:inline>
                    </w:drawing>
                  </w:r>
                </w:p>
                <w:p w:rsidR="00280598" w:rsidRDefault="00280598" w:rsidP="00B56B61">
                  <w:pPr>
                    <w:rPr>
                      <w:rFonts w:cs="Tahoma"/>
                      <w:sz w:val="18"/>
                      <w:szCs w:val="18"/>
                    </w:rPr>
                  </w:pPr>
                  <w:r>
                    <w:rPr>
                      <w:sz w:val="18"/>
                      <w:szCs w:val="18"/>
                    </w:rPr>
                    <w:t>Source</w:t>
                  </w:r>
                  <w:r w:rsidRPr="00E8302F">
                    <w:rPr>
                      <w:sz w:val="18"/>
                      <w:szCs w:val="18"/>
                      <w:lang w:val="mk-MK"/>
                    </w:rPr>
                    <w:t>:</w:t>
                  </w:r>
                  <w:r w:rsidRPr="00E8302F">
                    <w:rPr>
                      <w:rFonts w:cs="Tahoma"/>
                      <w:sz w:val="18"/>
                      <w:szCs w:val="18"/>
                      <w:lang w:val="mk-MK"/>
                    </w:rPr>
                    <w:t xml:space="preserve"> </w:t>
                  </w:r>
                  <w:r>
                    <w:rPr>
                      <w:rFonts w:cs="Tahoma"/>
                      <w:sz w:val="18"/>
                      <w:szCs w:val="18"/>
                    </w:rPr>
                    <w:t>NBRM</w:t>
                  </w:r>
                  <w:r w:rsidRPr="00E8302F">
                    <w:rPr>
                      <w:rFonts w:cs="Tahoma"/>
                      <w:sz w:val="18"/>
                      <w:szCs w:val="18"/>
                      <w:lang w:val="mk-MK"/>
                    </w:rPr>
                    <w:t xml:space="preserve">, </w:t>
                  </w:r>
                  <w:r>
                    <w:rPr>
                      <w:rFonts w:cs="Tahoma"/>
                      <w:sz w:val="18"/>
                      <w:szCs w:val="18"/>
                    </w:rPr>
                    <w:t>based on data submitted by banks.</w:t>
                  </w:r>
                </w:p>
                <w:p w:rsidR="00280598" w:rsidRPr="00F20493" w:rsidRDefault="00280598" w:rsidP="00B56B61">
                  <w:pPr>
                    <w:rPr>
                      <w:sz w:val="18"/>
                      <w:szCs w:val="18"/>
                    </w:rPr>
                  </w:pPr>
                  <w:r>
                    <w:rPr>
                      <w:sz w:val="18"/>
                      <w:szCs w:val="18"/>
                      <w:lang w:val="mk-MK"/>
                    </w:rPr>
                    <w:t xml:space="preserve">* </w:t>
                  </w:r>
                  <w:r>
                    <w:rPr>
                      <w:sz w:val="18"/>
                      <w:szCs w:val="18"/>
                    </w:rPr>
                    <w:t>Note</w:t>
                  </w:r>
                  <w:r w:rsidRPr="00423360">
                    <w:rPr>
                      <w:sz w:val="18"/>
                      <w:szCs w:val="18"/>
                      <w:lang w:val="en-GB"/>
                    </w:rPr>
                    <w:t xml:space="preserve">: </w:t>
                  </w:r>
                  <w:r>
                    <w:rPr>
                      <w:sz w:val="18"/>
                      <w:szCs w:val="18"/>
                      <w:lang w:val="en-GB"/>
                    </w:rPr>
                    <w:t>In analyzed period, deductible items of tier 1 and tier 2 capital do not exceed 1.4% of total regulatory capital.</w:t>
                  </w:r>
                </w:p>
                <w:p w:rsidR="00280598" w:rsidRDefault="00280598" w:rsidP="00B56B61">
                  <w:pPr>
                    <w:rPr>
                      <w:rFonts w:cs="Tahoma"/>
                      <w:sz w:val="18"/>
                      <w:szCs w:val="18"/>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Pr="008476D5" w:rsidRDefault="00280598" w:rsidP="00B56B61">
                  <w:pPr>
                    <w:rPr>
                      <w:sz w:val="20"/>
                      <w:szCs w:val="20"/>
                      <w:lang w:val="mk-MK"/>
                    </w:rPr>
                  </w:pPr>
                </w:p>
              </w:txbxContent>
            </v:textbox>
          </v:shape>
        </w:pict>
      </w: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B56B61">
      <w:pPr>
        <w:ind w:firstLine="709"/>
        <w:rPr>
          <w:rFonts w:cs="Tahoma"/>
          <w:bCs/>
          <w:lang w:val="en-GB"/>
        </w:rPr>
      </w:pPr>
    </w:p>
    <w:p w:rsidR="00B56B61" w:rsidRPr="005F1ACB" w:rsidRDefault="00B56B61" w:rsidP="008F5483">
      <w:pPr>
        <w:rPr>
          <w:rFonts w:cs="Tahoma"/>
          <w:bCs/>
          <w:lang w:val="en-GB"/>
        </w:rPr>
      </w:pPr>
    </w:p>
    <w:p w:rsidR="00B56B61" w:rsidRPr="005F1ACB" w:rsidRDefault="00803610" w:rsidP="00B56B61">
      <w:pPr>
        <w:ind w:firstLine="709"/>
        <w:rPr>
          <w:rFonts w:cs="Tahoma"/>
          <w:bCs/>
          <w:lang w:val="en-GB"/>
        </w:rPr>
      </w:pPr>
      <w:r w:rsidRPr="00803610">
        <w:rPr>
          <w:rFonts w:cs="Tahoma"/>
          <w:bCs/>
          <w:noProof/>
          <w:lang w:val="en-GB"/>
        </w:rPr>
        <w:lastRenderedPageBreak/>
        <w:pict>
          <v:shape id="_x0000_s1208" type="#_x0000_t202" style="position:absolute;left:0;text-align:left;margin-left:-231.05pt;margin-top:.4pt;width:223.2pt;height:329pt;z-index:251727872;v-text-anchor:middle" stroked="f" strokecolor="black [3213]">
            <v:textbox style="mso-next-textbox:#_x0000_s1208" inset="0,0,0,0">
              <w:txbxContent>
                <w:p w:rsidR="00280598" w:rsidRPr="00E8302F" w:rsidRDefault="00280598" w:rsidP="00B56B61">
                  <w:pPr>
                    <w:pStyle w:val="Caption"/>
                    <w:rPr>
                      <w:rFonts w:cs="Tahoma"/>
                      <w:b w:val="0"/>
                    </w:rPr>
                  </w:pPr>
                  <w:r>
                    <w:t>Chart</w:t>
                  </w:r>
                  <w:r w:rsidRPr="00E8302F">
                    <w:t xml:space="preserve"> </w:t>
                  </w:r>
                  <w:fldSimple w:instr=" SEQ Графикон_бр. \* ARABIC ">
                    <w:r>
                      <w:rPr>
                        <w:noProof/>
                      </w:rPr>
                      <w:t>61</w:t>
                    </w:r>
                  </w:fldSimple>
                  <w:r w:rsidRPr="00E8302F">
                    <w:rPr>
                      <w:rFonts w:cs="Tahoma"/>
                      <w:lang w:val="mk-MK"/>
                    </w:rPr>
                    <w:t xml:space="preserve"> </w:t>
                  </w:r>
                </w:p>
                <w:p w:rsidR="00280598" w:rsidRPr="00B12CF0" w:rsidRDefault="00280598" w:rsidP="00B56B61">
                  <w:pPr>
                    <w:pStyle w:val="Caption"/>
                    <w:rPr>
                      <w:rFonts w:cs="Tahoma"/>
                      <w:b w:val="0"/>
                    </w:rPr>
                  </w:pPr>
                  <w:r>
                    <w:rPr>
                      <w:rFonts w:cs="Tahoma"/>
                    </w:rPr>
                    <w:t>Cost (price) of capital* for the four largest banks in the system</w:t>
                  </w:r>
                </w:p>
                <w:p w:rsidR="00280598" w:rsidRPr="00B12CF0" w:rsidRDefault="00280598" w:rsidP="00B56B61">
                  <w:pPr>
                    <w:rPr>
                      <w:sz w:val="18"/>
                      <w:szCs w:val="18"/>
                    </w:rPr>
                  </w:pPr>
                  <w:r>
                    <w:rPr>
                      <w:sz w:val="18"/>
                      <w:szCs w:val="18"/>
                    </w:rPr>
                    <w:t>in percentages</w:t>
                  </w:r>
                </w:p>
                <w:p w:rsidR="00280598" w:rsidRDefault="00280598" w:rsidP="00B56B61">
                  <w:pPr>
                    <w:rPr>
                      <w:sz w:val="18"/>
                      <w:szCs w:val="18"/>
                      <w:lang w:val="mk-MK"/>
                    </w:rPr>
                  </w:pPr>
                  <w:r w:rsidRPr="00782059">
                    <w:rPr>
                      <w:noProof/>
                    </w:rPr>
                    <w:drawing>
                      <wp:inline distT="0" distB="0" distL="0" distR="0">
                        <wp:extent cx="2830664" cy="2576222"/>
                        <wp:effectExtent l="0" t="0" r="0" b="0"/>
                        <wp:docPr id="4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4640" cy="2579841"/>
                                </a:xfrm>
                                <a:prstGeom prst="rect">
                                  <a:avLst/>
                                </a:prstGeom>
                                <a:noFill/>
                                <a:ln>
                                  <a:noFill/>
                                </a:ln>
                              </pic:spPr>
                            </pic:pic>
                          </a:graphicData>
                        </a:graphic>
                      </wp:inline>
                    </w:drawing>
                  </w:r>
                </w:p>
                <w:p w:rsidR="00280598" w:rsidRDefault="00280598" w:rsidP="00B56B61">
                  <w:pPr>
                    <w:rPr>
                      <w:rFonts w:cs="Tahoma"/>
                      <w:sz w:val="18"/>
                      <w:szCs w:val="18"/>
                    </w:rPr>
                  </w:pPr>
                  <w:r>
                    <w:rPr>
                      <w:sz w:val="18"/>
                      <w:szCs w:val="18"/>
                    </w:rPr>
                    <w:t>Source</w:t>
                  </w:r>
                  <w:r w:rsidRPr="00E8302F">
                    <w:rPr>
                      <w:sz w:val="18"/>
                      <w:szCs w:val="18"/>
                      <w:lang w:val="mk-MK"/>
                    </w:rPr>
                    <w:t>:</w:t>
                  </w:r>
                  <w:r w:rsidRPr="00E8302F">
                    <w:rPr>
                      <w:rFonts w:cs="Tahoma"/>
                      <w:sz w:val="18"/>
                      <w:szCs w:val="18"/>
                      <w:lang w:val="mk-MK"/>
                    </w:rPr>
                    <w:t xml:space="preserve"> </w:t>
                  </w:r>
                  <w:r>
                    <w:rPr>
                      <w:rFonts w:cs="Tahoma"/>
                      <w:sz w:val="18"/>
                      <w:szCs w:val="18"/>
                    </w:rPr>
                    <w:t>NBRM</w:t>
                  </w:r>
                  <w:r w:rsidRPr="00E8302F">
                    <w:rPr>
                      <w:rFonts w:cs="Tahoma"/>
                      <w:sz w:val="18"/>
                      <w:szCs w:val="18"/>
                      <w:lang w:val="mk-MK"/>
                    </w:rPr>
                    <w:t xml:space="preserve">, </w:t>
                  </w:r>
                  <w:r>
                    <w:rPr>
                      <w:rFonts w:cs="Tahoma"/>
                      <w:sz w:val="18"/>
                      <w:szCs w:val="18"/>
                    </w:rPr>
                    <w:t>website of Macedonian stock exchange and websites of banks</w:t>
                  </w:r>
                </w:p>
                <w:p w:rsidR="00280598" w:rsidRPr="002C08C6" w:rsidRDefault="00280598" w:rsidP="00B56B61">
                  <w:pPr>
                    <w:rPr>
                      <w:lang w:val="mk-MK"/>
                    </w:rPr>
                  </w:pPr>
                  <w:r w:rsidRPr="00B201A9">
                    <w:rPr>
                      <w:sz w:val="18"/>
                      <w:szCs w:val="18"/>
                    </w:rPr>
                    <w:t>*</w:t>
                  </w:r>
                  <w:r>
                    <w:rPr>
                      <w:sz w:val="18"/>
                      <w:szCs w:val="18"/>
                      <w:lang w:val="mk-MK"/>
                    </w:rPr>
                    <w:t xml:space="preserve"> </w:t>
                  </w:r>
                  <w:r>
                    <w:rPr>
                      <w:sz w:val="18"/>
                      <w:szCs w:val="18"/>
                    </w:rPr>
                    <w:t>Note: Average of the estimates of cost of capital obtained using</w:t>
                  </w:r>
                  <w:r>
                    <w:rPr>
                      <w:sz w:val="18"/>
                      <w:szCs w:val="18"/>
                      <w:lang w:val="mk-MK"/>
                    </w:rPr>
                    <w:t xml:space="preserve"> </w:t>
                  </w:r>
                  <w:r>
                    <w:rPr>
                      <w:sz w:val="18"/>
                      <w:szCs w:val="18"/>
                    </w:rPr>
                    <w:t>two</w:t>
                  </w:r>
                  <w:r>
                    <w:rPr>
                      <w:sz w:val="18"/>
                      <w:szCs w:val="18"/>
                      <w:lang w:val="mk-MK"/>
                    </w:rPr>
                    <w:t>/</w:t>
                  </w:r>
                  <w:r>
                    <w:rPr>
                      <w:sz w:val="18"/>
                      <w:szCs w:val="18"/>
                    </w:rPr>
                    <w:t>three</w:t>
                  </w:r>
                  <w:r>
                    <w:rPr>
                      <w:sz w:val="18"/>
                      <w:szCs w:val="18"/>
                      <w:lang w:val="mk-MK"/>
                    </w:rPr>
                    <w:t xml:space="preserve"> </w:t>
                  </w:r>
                  <w:r>
                    <w:rPr>
                      <w:sz w:val="18"/>
                      <w:szCs w:val="18"/>
                    </w:rPr>
                    <w:t xml:space="preserve">different methods: Capital-Asset Pricing Model </w:t>
                  </w:r>
                  <w:r>
                    <w:rPr>
                      <w:sz w:val="18"/>
                      <w:szCs w:val="18"/>
                      <w:lang w:val="mk-MK"/>
                    </w:rPr>
                    <w:t>(</w:t>
                  </w:r>
                  <w:r>
                    <w:rPr>
                      <w:sz w:val="18"/>
                      <w:szCs w:val="18"/>
                    </w:rPr>
                    <w:t>CAPM</w:t>
                  </w:r>
                  <w:r>
                    <w:rPr>
                      <w:sz w:val="18"/>
                      <w:szCs w:val="18"/>
                      <w:lang w:val="mk-MK"/>
                    </w:rPr>
                    <w:t>)</w:t>
                  </w:r>
                  <w:r>
                    <w:rPr>
                      <w:sz w:val="18"/>
                      <w:szCs w:val="18"/>
                    </w:rPr>
                    <w:t>, Earnings Yield and</w:t>
                  </w:r>
                  <w:r>
                    <w:rPr>
                      <w:sz w:val="18"/>
                      <w:szCs w:val="18"/>
                      <w:lang w:val="mk-MK"/>
                    </w:rPr>
                    <w:t xml:space="preserve"> </w:t>
                  </w:r>
                  <w:r>
                    <w:rPr>
                      <w:sz w:val="18"/>
                      <w:szCs w:val="18"/>
                    </w:rPr>
                    <w:t xml:space="preserve">Dividend Discount Model </w:t>
                  </w:r>
                  <w:r>
                    <w:rPr>
                      <w:sz w:val="18"/>
                      <w:szCs w:val="18"/>
                      <w:lang w:val="mk-MK"/>
                    </w:rPr>
                    <w:t>(</w:t>
                  </w:r>
                  <w:r>
                    <w:rPr>
                      <w:sz w:val="18"/>
                      <w:szCs w:val="18"/>
                    </w:rPr>
                    <w:t>DDM</w:t>
                  </w:r>
                  <w:r>
                    <w:rPr>
                      <w:sz w:val="18"/>
                      <w:szCs w:val="18"/>
                      <w:lang w:val="mk-MK"/>
                    </w:rPr>
                    <w:t>)</w:t>
                  </w:r>
                  <w:r>
                    <w:rPr>
                      <w:sz w:val="18"/>
                      <w:szCs w:val="18"/>
                    </w:rPr>
                    <w:t>. DDM is applicable for only one bank included in the analysis</w:t>
                  </w:r>
                  <w:r>
                    <w:rPr>
                      <w:sz w:val="18"/>
                      <w:szCs w:val="18"/>
                      <w:lang w:val="mk-MK"/>
                    </w:rPr>
                    <w:t>.</w:t>
                  </w:r>
                </w:p>
                <w:p w:rsidR="00280598" w:rsidRPr="00782059" w:rsidRDefault="00280598" w:rsidP="00B56B61">
                  <w:pPr>
                    <w:rPr>
                      <w:rFonts w:cs="Tahoma"/>
                      <w:sz w:val="18"/>
                      <w:szCs w:val="18"/>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Pr="008476D5" w:rsidRDefault="00280598" w:rsidP="00B56B61">
                  <w:pPr>
                    <w:rPr>
                      <w:sz w:val="20"/>
                      <w:szCs w:val="20"/>
                      <w:lang w:val="mk-MK"/>
                    </w:rPr>
                  </w:pPr>
                </w:p>
              </w:txbxContent>
            </v:textbox>
          </v:shape>
        </w:pict>
      </w:r>
      <w:r w:rsidR="00B56B61" w:rsidRPr="005F1ACB">
        <w:rPr>
          <w:rFonts w:cs="Tahoma"/>
          <w:bCs/>
          <w:lang w:val="en-GB"/>
        </w:rPr>
        <w:t xml:space="preserve">It is expected that the relatively high earnings generated in 2013, will be the main source of increasing the own funds also in the coming 2014. Despite the reduced cost of capital of some of the banks, recapitalizations remain uncertain (particularly in the short run), especially among domestic banks owned by banks with their headquarters based in the EU (six banks with a total market share of 53.3%), which are faced with a debt crisis and restructuring in their banking systems, as well as increased supervisory and regulatory requirements. The fact that many of the subordinated instruments have already entered the last five years to maturity (and some of them enter in 2014 and 2015) can be considered </w:t>
      </w:r>
      <w:r w:rsidR="00B56B61">
        <w:rPr>
          <w:rFonts w:cs="Tahoma"/>
          <w:bCs/>
          <w:lang w:val="en-GB"/>
        </w:rPr>
        <w:t xml:space="preserve">as </w:t>
      </w:r>
      <w:r w:rsidR="00B56B61" w:rsidRPr="005F1ACB">
        <w:rPr>
          <w:rFonts w:cs="Tahoma"/>
          <w:bCs/>
          <w:lang w:val="en-GB"/>
        </w:rPr>
        <w:t>an additional limiting factor for future growth of own funds, and they are (will be) included in the calculation of own funds at discounted value. The latter requires possible refinancing of the liabilities based on subordinated instruments, which, in turn, could be a relatively expensive option for banks.</w:t>
      </w:r>
    </w:p>
    <w:p w:rsidR="00B56B61" w:rsidRPr="005F1ACB" w:rsidRDefault="00B56B61" w:rsidP="00B56B61">
      <w:pPr>
        <w:ind w:firstLine="709"/>
        <w:rPr>
          <w:rFonts w:cs="Tahoma"/>
          <w:bCs/>
          <w:lang w:val="en-GB"/>
        </w:rPr>
      </w:pPr>
    </w:p>
    <w:p w:rsidR="00B56B61" w:rsidRPr="005F1ACB" w:rsidRDefault="00803610" w:rsidP="00B56B61">
      <w:pPr>
        <w:ind w:firstLine="709"/>
        <w:rPr>
          <w:rFonts w:cs="Tahoma"/>
          <w:bCs/>
          <w:lang w:val="en-GB"/>
        </w:rPr>
      </w:pPr>
      <w:r w:rsidRPr="00803610">
        <w:rPr>
          <w:rFonts w:cs="Tahoma"/>
          <w:bCs/>
          <w:noProof/>
          <w:lang w:val="en-GB"/>
        </w:rPr>
        <w:pict>
          <v:shape id="_x0000_s1209" type="#_x0000_t202" style="position:absolute;left:0;text-align:left;margin-left:-231.05pt;margin-top:33.8pt;width:223.2pt;height:308.25pt;z-index:251728896;v-text-anchor:middle" stroked="f" strokecolor="black [3213]">
            <v:textbox style="mso-next-textbox:#_x0000_s1209" inset="0,0,0,0">
              <w:txbxContent>
                <w:p w:rsidR="00280598" w:rsidRPr="00E8302F" w:rsidRDefault="00280598" w:rsidP="00B56B61">
                  <w:pPr>
                    <w:pStyle w:val="Caption"/>
                    <w:rPr>
                      <w:rFonts w:cs="Tahoma"/>
                      <w:b w:val="0"/>
                    </w:rPr>
                  </w:pPr>
                  <w:r>
                    <w:t>Chart</w:t>
                  </w:r>
                  <w:r w:rsidRPr="00E8302F">
                    <w:t xml:space="preserve"> </w:t>
                  </w:r>
                  <w:fldSimple w:instr=" SEQ Графикон_бр. \* ARABIC ">
                    <w:r>
                      <w:rPr>
                        <w:noProof/>
                      </w:rPr>
                      <w:t>62</w:t>
                    </w:r>
                  </w:fldSimple>
                  <w:r w:rsidRPr="00E8302F">
                    <w:rPr>
                      <w:rFonts w:cs="Tahoma"/>
                      <w:lang w:val="mk-MK"/>
                    </w:rPr>
                    <w:t xml:space="preserve"> </w:t>
                  </w:r>
                </w:p>
                <w:p w:rsidR="00280598" w:rsidRPr="008F5483" w:rsidRDefault="00280598" w:rsidP="00B56B61">
                  <w:pPr>
                    <w:rPr>
                      <w:b/>
                      <w:sz w:val="20"/>
                      <w:szCs w:val="20"/>
                    </w:rPr>
                  </w:pPr>
                  <w:r w:rsidRPr="008F5483">
                    <w:rPr>
                      <w:rFonts w:cs="Tahoma"/>
                      <w:b/>
                      <w:sz w:val="20"/>
                      <w:szCs w:val="20"/>
                    </w:rPr>
                    <w:t>Interest expenses rate* for separate sources of funds</w:t>
                  </w:r>
                  <w:r w:rsidRPr="008F5483">
                    <w:rPr>
                      <w:b/>
                      <w:sz w:val="20"/>
                      <w:szCs w:val="20"/>
                    </w:rPr>
                    <w:t xml:space="preserve"> </w:t>
                  </w:r>
                </w:p>
                <w:p w:rsidR="00280598" w:rsidRPr="00B12CF0" w:rsidRDefault="00280598" w:rsidP="00B56B61">
                  <w:pPr>
                    <w:rPr>
                      <w:sz w:val="18"/>
                      <w:szCs w:val="18"/>
                    </w:rPr>
                  </w:pPr>
                  <w:r>
                    <w:rPr>
                      <w:sz w:val="18"/>
                      <w:szCs w:val="18"/>
                    </w:rPr>
                    <w:t>in percentages</w:t>
                  </w:r>
                </w:p>
                <w:p w:rsidR="00280598" w:rsidRDefault="00280598" w:rsidP="00B56B61">
                  <w:pPr>
                    <w:rPr>
                      <w:sz w:val="18"/>
                      <w:szCs w:val="18"/>
                      <w:lang w:val="mk-MK"/>
                    </w:rPr>
                  </w:pPr>
                  <w:r w:rsidRPr="009F7097">
                    <w:rPr>
                      <w:noProof/>
                    </w:rPr>
                    <w:drawing>
                      <wp:inline distT="0" distB="0" distL="0" distR="0">
                        <wp:extent cx="2830664" cy="224226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4640" cy="2245418"/>
                                </a:xfrm>
                                <a:prstGeom prst="rect">
                                  <a:avLst/>
                                </a:prstGeom>
                                <a:noFill/>
                                <a:ln>
                                  <a:noFill/>
                                </a:ln>
                              </pic:spPr>
                            </pic:pic>
                          </a:graphicData>
                        </a:graphic>
                      </wp:inline>
                    </w:drawing>
                  </w:r>
                </w:p>
                <w:p w:rsidR="00280598" w:rsidRDefault="00280598" w:rsidP="00B56B61">
                  <w:pPr>
                    <w:rPr>
                      <w:rFonts w:cs="Tahoma"/>
                      <w:sz w:val="18"/>
                      <w:szCs w:val="18"/>
                    </w:rPr>
                  </w:pPr>
                  <w:r>
                    <w:rPr>
                      <w:sz w:val="18"/>
                      <w:szCs w:val="18"/>
                    </w:rPr>
                    <w:t>Source</w:t>
                  </w:r>
                  <w:r w:rsidRPr="00E8302F">
                    <w:rPr>
                      <w:sz w:val="18"/>
                      <w:szCs w:val="18"/>
                      <w:lang w:val="mk-MK"/>
                    </w:rPr>
                    <w:t>:</w:t>
                  </w:r>
                  <w:r w:rsidRPr="00E8302F">
                    <w:rPr>
                      <w:rFonts w:cs="Tahoma"/>
                      <w:sz w:val="18"/>
                      <w:szCs w:val="18"/>
                      <w:lang w:val="mk-MK"/>
                    </w:rPr>
                    <w:t xml:space="preserve"> </w:t>
                  </w:r>
                  <w:r>
                    <w:rPr>
                      <w:rFonts w:cs="Tahoma"/>
                      <w:sz w:val="18"/>
                      <w:szCs w:val="18"/>
                    </w:rPr>
                    <w:t>NBRM</w:t>
                  </w:r>
                  <w:r w:rsidRPr="00E8302F">
                    <w:rPr>
                      <w:rFonts w:cs="Tahoma"/>
                      <w:sz w:val="18"/>
                      <w:szCs w:val="18"/>
                      <w:lang w:val="mk-MK"/>
                    </w:rPr>
                    <w:t xml:space="preserve">, </w:t>
                  </w:r>
                  <w:r>
                    <w:rPr>
                      <w:rFonts w:cs="Tahoma"/>
                      <w:sz w:val="18"/>
                      <w:szCs w:val="18"/>
                    </w:rPr>
                    <w:t>based on data submitted by banks.</w:t>
                  </w:r>
                </w:p>
                <w:p w:rsidR="00280598" w:rsidRPr="004A2AFA" w:rsidRDefault="00280598" w:rsidP="00B56B61">
                  <w:r>
                    <w:rPr>
                      <w:rFonts w:cs="Tahoma"/>
                      <w:sz w:val="18"/>
                      <w:szCs w:val="18"/>
                    </w:rPr>
                    <w:t>*Note: The interest expenses rate is calculated as a ratio between the amount of interest expenses realized in the last four quarters (the cumulative flow of interest expenses realized in the last four quarters) and the average amount of sources of funds, calculated as an average of the their stock in the last five quarters.</w:t>
                  </w:r>
                </w:p>
                <w:p w:rsidR="00280598" w:rsidRPr="00782059" w:rsidRDefault="00280598" w:rsidP="00B56B61">
                  <w:pPr>
                    <w:rPr>
                      <w:rFonts w:cs="Tahoma"/>
                      <w:sz w:val="18"/>
                      <w:szCs w:val="18"/>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Pr="008476D5" w:rsidRDefault="00280598" w:rsidP="00B56B61">
                  <w:pPr>
                    <w:rPr>
                      <w:sz w:val="20"/>
                      <w:szCs w:val="20"/>
                      <w:lang w:val="mk-MK"/>
                    </w:rPr>
                  </w:pPr>
                </w:p>
              </w:txbxContent>
            </v:textbox>
          </v:shape>
        </w:pict>
      </w:r>
      <w:r w:rsidR="00B56B61" w:rsidRPr="005F1ACB">
        <w:rPr>
          <w:rFonts w:cs="Tahoma"/>
          <w:bCs/>
          <w:lang w:val="en-GB"/>
        </w:rPr>
        <w:t>More details about the level of own funds of individual groups of banks are provided in Annex 34.</w:t>
      </w:r>
    </w:p>
    <w:p w:rsidR="00B56B61" w:rsidRDefault="00B56B61" w:rsidP="00B56B61">
      <w:pPr>
        <w:ind w:firstLine="544"/>
        <w:rPr>
          <w:rFonts w:cs="Tahoma"/>
          <w:bCs/>
          <w:lang w:val="en-GB"/>
        </w:rPr>
      </w:pPr>
    </w:p>
    <w:p w:rsidR="008F5483" w:rsidRDefault="008F5483" w:rsidP="00B56B61">
      <w:pPr>
        <w:ind w:firstLine="544"/>
        <w:rPr>
          <w:rFonts w:cs="Tahoma"/>
          <w:bCs/>
          <w:lang w:val="en-GB"/>
        </w:rPr>
      </w:pPr>
    </w:p>
    <w:p w:rsidR="008F5483" w:rsidRDefault="008F5483" w:rsidP="00B56B61">
      <w:pPr>
        <w:ind w:firstLine="544"/>
        <w:rPr>
          <w:rFonts w:cs="Tahoma"/>
          <w:bCs/>
          <w:lang w:val="en-GB"/>
        </w:rPr>
      </w:pPr>
    </w:p>
    <w:p w:rsidR="008F5483" w:rsidRDefault="008F5483" w:rsidP="00B56B61">
      <w:pPr>
        <w:ind w:firstLine="544"/>
        <w:rPr>
          <w:rFonts w:cs="Tahoma"/>
          <w:bCs/>
          <w:lang w:val="en-GB"/>
        </w:rPr>
      </w:pPr>
    </w:p>
    <w:p w:rsidR="008F5483" w:rsidRDefault="008F5483" w:rsidP="00B56B61">
      <w:pPr>
        <w:ind w:firstLine="544"/>
        <w:rPr>
          <w:rFonts w:cs="Tahoma"/>
          <w:bCs/>
          <w:lang w:val="en-GB"/>
        </w:rPr>
      </w:pPr>
    </w:p>
    <w:p w:rsidR="008F5483" w:rsidRDefault="008F5483" w:rsidP="00B56B61">
      <w:pPr>
        <w:ind w:firstLine="544"/>
        <w:rPr>
          <w:rFonts w:cs="Tahoma"/>
          <w:bCs/>
          <w:lang w:val="en-GB"/>
        </w:rPr>
      </w:pPr>
    </w:p>
    <w:p w:rsidR="008F5483" w:rsidRDefault="008F5483" w:rsidP="00B56B61">
      <w:pPr>
        <w:ind w:firstLine="544"/>
        <w:rPr>
          <w:rFonts w:cs="Tahoma"/>
          <w:bCs/>
          <w:lang w:val="en-GB"/>
        </w:rPr>
      </w:pPr>
    </w:p>
    <w:p w:rsidR="008F5483" w:rsidRDefault="008F5483" w:rsidP="00B56B61">
      <w:pPr>
        <w:ind w:firstLine="544"/>
        <w:rPr>
          <w:rFonts w:cs="Tahoma"/>
          <w:bCs/>
          <w:lang w:val="en-GB"/>
        </w:rPr>
      </w:pPr>
    </w:p>
    <w:p w:rsidR="008F5483" w:rsidRDefault="008F5483" w:rsidP="00B56B61">
      <w:pPr>
        <w:ind w:firstLine="544"/>
        <w:rPr>
          <w:rFonts w:cs="Tahoma"/>
          <w:bCs/>
          <w:lang w:val="en-GB"/>
        </w:rPr>
      </w:pPr>
    </w:p>
    <w:p w:rsidR="008F5483" w:rsidRDefault="008F5483" w:rsidP="00B56B61">
      <w:pPr>
        <w:ind w:firstLine="544"/>
        <w:rPr>
          <w:rFonts w:cs="Tahoma"/>
          <w:bCs/>
          <w:lang w:val="en-GB"/>
        </w:rPr>
      </w:pPr>
    </w:p>
    <w:p w:rsidR="008F5483" w:rsidRDefault="008F5483" w:rsidP="00B56B61">
      <w:pPr>
        <w:ind w:firstLine="544"/>
        <w:rPr>
          <w:rFonts w:cs="Tahoma"/>
          <w:bCs/>
          <w:lang w:val="en-GB"/>
        </w:rPr>
      </w:pPr>
    </w:p>
    <w:p w:rsidR="008F5483" w:rsidRDefault="008F5483" w:rsidP="00B56B61">
      <w:pPr>
        <w:ind w:firstLine="544"/>
        <w:rPr>
          <w:rFonts w:cs="Tahoma"/>
          <w:bCs/>
          <w:lang w:val="en-GB"/>
        </w:rPr>
      </w:pPr>
    </w:p>
    <w:p w:rsidR="008F5483" w:rsidRDefault="008F5483" w:rsidP="00B56B61">
      <w:pPr>
        <w:ind w:firstLine="544"/>
        <w:rPr>
          <w:rFonts w:cs="Tahoma"/>
          <w:bCs/>
          <w:lang w:val="en-GB"/>
        </w:rPr>
      </w:pPr>
    </w:p>
    <w:p w:rsidR="008F5483" w:rsidRDefault="008F5483" w:rsidP="00B56B61">
      <w:pPr>
        <w:ind w:firstLine="544"/>
        <w:rPr>
          <w:rFonts w:cs="Tahoma"/>
          <w:bCs/>
          <w:lang w:val="en-GB"/>
        </w:rPr>
      </w:pPr>
    </w:p>
    <w:p w:rsidR="008F5483" w:rsidRDefault="008F5483" w:rsidP="00B56B61">
      <w:pPr>
        <w:ind w:firstLine="544"/>
        <w:rPr>
          <w:rFonts w:cs="Tahoma"/>
          <w:bCs/>
          <w:lang w:val="en-GB"/>
        </w:rPr>
      </w:pPr>
    </w:p>
    <w:p w:rsidR="008F5483" w:rsidRDefault="008F5483" w:rsidP="00B56B61">
      <w:pPr>
        <w:ind w:firstLine="544"/>
        <w:rPr>
          <w:rFonts w:cs="Tahoma"/>
          <w:bCs/>
          <w:lang w:val="en-GB"/>
        </w:rPr>
      </w:pPr>
    </w:p>
    <w:p w:rsidR="008F5483" w:rsidRDefault="008F5483" w:rsidP="00B56B61">
      <w:pPr>
        <w:ind w:firstLine="544"/>
        <w:rPr>
          <w:rFonts w:cs="Tahoma"/>
          <w:bCs/>
          <w:lang w:val="en-GB"/>
        </w:rPr>
      </w:pPr>
    </w:p>
    <w:p w:rsidR="008F5483" w:rsidRDefault="008F5483" w:rsidP="00B56B61">
      <w:pPr>
        <w:ind w:firstLine="544"/>
        <w:rPr>
          <w:rFonts w:cs="Tahoma"/>
          <w:bCs/>
          <w:lang w:val="en-GB"/>
        </w:rPr>
      </w:pPr>
    </w:p>
    <w:p w:rsidR="008F5483" w:rsidRPr="005F1ACB" w:rsidRDefault="008F5483" w:rsidP="00B56B61">
      <w:pPr>
        <w:ind w:firstLine="544"/>
        <w:rPr>
          <w:rFonts w:cs="Tahoma"/>
          <w:bCs/>
          <w:lang w:val="en-GB"/>
        </w:rPr>
      </w:pPr>
    </w:p>
    <w:p w:rsidR="00B56B61" w:rsidRPr="00F70592" w:rsidRDefault="00803610" w:rsidP="00C5550A">
      <w:pPr>
        <w:pStyle w:val="Heading3"/>
      </w:pPr>
      <w:bookmarkStart w:id="67" w:name="_Toc342911644"/>
      <w:bookmarkEnd w:id="67"/>
      <w:r w:rsidRPr="00803610">
        <w:rPr>
          <w:bCs/>
          <w:noProof/>
          <w:lang w:val="en-GB"/>
        </w:rPr>
        <w:lastRenderedPageBreak/>
        <w:pict>
          <v:shape id="_x0000_s1210" type="#_x0000_t202" style="position:absolute;left:0;text-align:left;margin-left:-237pt;margin-top:.15pt;width:230.45pt;height:286.75pt;z-index:251729920;v-text-anchor:middle" stroked="f" strokecolor="black [3213]">
            <v:textbox style="mso-next-textbox:#_x0000_s1210" inset="0,0,0,0">
              <w:txbxContent>
                <w:p w:rsidR="00280598" w:rsidRPr="00E8302F" w:rsidRDefault="00280598" w:rsidP="00B56B61">
                  <w:pPr>
                    <w:pStyle w:val="Caption"/>
                    <w:rPr>
                      <w:rFonts w:cs="Tahoma"/>
                      <w:b w:val="0"/>
                    </w:rPr>
                  </w:pPr>
                  <w:r>
                    <w:t>Chart</w:t>
                  </w:r>
                  <w:r w:rsidRPr="00E8302F">
                    <w:t xml:space="preserve"> </w:t>
                  </w:r>
                  <w:fldSimple w:instr=" SEQ Графикон_бр. \* ARABIC ">
                    <w:r>
                      <w:rPr>
                        <w:noProof/>
                      </w:rPr>
                      <w:t>63</w:t>
                    </w:r>
                  </w:fldSimple>
                  <w:r w:rsidRPr="00E8302F">
                    <w:rPr>
                      <w:rFonts w:cs="Tahoma"/>
                      <w:lang w:val="mk-MK"/>
                    </w:rPr>
                    <w:t xml:space="preserve"> </w:t>
                  </w:r>
                </w:p>
                <w:p w:rsidR="00280598" w:rsidRPr="00FF6ADF" w:rsidRDefault="00280598" w:rsidP="00B56B61">
                  <w:pPr>
                    <w:pStyle w:val="Caption"/>
                    <w:rPr>
                      <w:rFonts w:cs="Tahoma"/>
                      <w:b w:val="0"/>
                      <w:lang w:val="mk-MK"/>
                    </w:rPr>
                  </w:pPr>
                  <w:r>
                    <w:rPr>
                      <w:rFonts w:cs="Tahoma"/>
                      <w:szCs w:val="20"/>
                    </w:rPr>
                    <w:t>Structure of annual changes of regulatory capital according to usage for covering risks</w:t>
                  </w:r>
                </w:p>
                <w:p w:rsidR="00280598" w:rsidRDefault="00280598" w:rsidP="00B56B61">
                  <w:pPr>
                    <w:rPr>
                      <w:sz w:val="18"/>
                      <w:szCs w:val="18"/>
                    </w:rPr>
                  </w:pPr>
                  <w:r>
                    <w:rPr>
                      <w:sz w:val="18"/>
                      <w:szCs w:val="18"/>
                    </w:rPr>
                    <w:t>in millions of Denars</w:t>
                  </w:r>
                </w:p>
                <w:p w:rsidR="00280598" w:rsidRPr="00B12CF0" w:rsidRDefault="00280598" w:rsidP="00B56B61">
                  <w:pPr>
                    <w:rPr>
                      <w:sz w:val="18"/>
                      <w:szCs w:val="18"/>
                    </w:rPr>
                  </w:pPr>
                  <w:r w:rsidRPr="0039504D">
                    <w:rPr>
                      <w:noProof/>
                    </w:rPr>
                    <w:drawing>
                      <wp:inline distT="0" distB="0" distL="0" distR="0">
                        <wp:extent cx="2926715" cy="283611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6715" cy="2836112"/>
                                </a:xfrm>
                                <a:prstGeom prst="rect">
                                  <a:avLst/>
                                </a:prstGeom>
                                <a:noFill/>
                                <a:ln>
                                  <a:noFill/>
                                </a:ln>
                              </pic:spPr>
                            </pic:pic>
                          </a:graphicData>
                        </a:graphic>
                      </wp:inline>
                    </w:drawing>
                  </w:r>
                </w:p>
                <w:p w:rsidR="00280598" w:rsidRDefault="00280598" w:rsidP="00B56B61">
                  <w:pPr>
                    <w:rPr>
                      <w:rFonts w:cs="Tahoma"/>
                      <w:sz w:val="18"/>
                      <w:szCs w:val="18"/>
                    </w:rPr>
                  </w:pPr>
                  <w:r>
                    <w:rPr>
                      <w:sz w:val="18"/>
                      <w:szCs w:val="18"/>
                    </w:rPr>
                    <w:t>Source</w:t>
                  </w:r>
                  <w:r w:rsidRPr="00E8302F">
                    <w:rPr>
                      <w:sz w:val="18"/>
                      <w:szCs w:val="18"/>
                      <w:lang w:val="mk-MK"/>
                    </w:rPr>
                    <w:t>:</w:t>
                  </w:r>
                  <w:r w:rsidRPr="00E8302F">
                    <w:rPr>
                      <w:rFonts w:cs="Tahoma"/>
                      <w:sz w:val="18"/>
                      <w:szCs w:val="18"/>
                      <w:lang w:val="mk-MK"/>
                    </w:rPr>
                    <w:t xml:space="preserve"> </w:t>
                  </w:r>
                  <w:r>
                    <w:rPr>
                      <w:rFonts w:cs="Tahoma"/>
                      <w:sz w:val="18"/>
                      <w:szCs w:val="18"/>
                    </w:rPr>
                    <w:t>NBRM</w:t>
                  </w:r>
                  <w:r w:rsidRPr="00E8302F">
                    <w:rPr>
                      <w:rFonts w:cs="Tahoma"/>
                      <w:sz w:val="18"/>
                      <w:szCs w:val="18"/>
                      <w:lang w:val="mk-MK"/>
                    </w:rPr>
                    <w:t xml:space="preserve">, </w:t>
                  </w:r>
                  <w:r>
                    <w:rPr>
                      <w:rFonts w:cs="Tahoma"/>
                      <w:sz w:val="18"/>
                      <w:szCs w:val="18"/>
                    </w:rPr>
                    <w:t>based on data submitted by banks.</w:t>
                  </w:r>
                </w:p>
                <w:p w:rsidR="00280598" w:rsidRPr="00782059" w:rsidRDefault="00280598" w:rsidP="00B56B61">
                  <w:pPr>
                    <w:rPr>
                      <w:rFonts w:cs="Tahoma"/>
                      <w:sz w:val="18"/>
                      <w:szCs w:val="18"/>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Pr="008476D5" w:rsidRDefault="00280598" w:rsidP="00B56B61">
                  <w:pPr>
                    <w:rPr>
                      <w:sz w:val="20"/>
                      <w:szCs w:val="20"/>
                      <w:lang w:val="mk-MK"/>
                    </w:rPr>
                  </w:pPr>
                </w:p>
              </w:txbxContent>
            </v:textbox>
          </v:shape>
        </w:pict>
      </w:r>
      <w:bookmarkStart w:id="68" w:name="_Toc393283600"/>
      <w:r w:rsidR="00B56B61" w:rsidRPr="00F70592">
        <w:t>Movements and structure of capital requirements and the available capital of the banking system</w:t>
      </w:r>
      <w:bookmarkEnd w:id="68"/>
    </w:p>
    <w:p w:rsidR="00B56B61" w:rsidRPr="005F1ACB" w:rsidRDefault="00B56B61" w:rsidP="00B56B61">
      <w:pPr>
        <w:ind w:firstLine="544"/>
        <w:rPr>
          <w:rFonts w:cs="Tahoma"/>
          <w:lang w:val="en-GB"/>
        </w:rPr>
      </w:pPr>
    </w:p>
    <w:p w:rsidR="00B56B61" w:rsidRPr="005F1ACB" w:rsidRDefault="00803610" w:rsidP="00B56B61">
      <w:pPr>
        <w:ind w:firstLine="706"/>
        <w:rPr>
          <w:rFonts w:cs="Tahoma"/>
          <w:bCs/>
          <w:lang w:val="en-GB"/>
        </w:rPr>
      </w:pPr>
      <w:r w:rsidRPr="00803610">
        <w:rPr>
          <w:rFonts w:cs="Tahoma"/>
          <w:bCs/>
          <w:noProof/>
          <w:lang w:val="en-GB"/>
        </w:rPr>
        <w:pict>
          <v:shape id="_x0000_s1211" type="#_x0000_t202" style="position:absolute;left:0;text-align:left;margin-left:-237pt;margin-top:241.05pt;width:230.45pt;height:286.75pt;z-index:251730944;v-text-anchor:middle" stroked="f" strokecolor="black [3213]">
            <v:textbox style="mso-next-textbox:#_x0000_s1211" inset="0,0,0,0">
              <w:txbxContent>
                <w:p w:rsidR="00280598" w:rsidRPr="00E8302F" w:rsidRDefault="00280598" w:rsidP="00B56B61">
                  <w:pPr>
                    <w:pStyle w:val="Caption"/>
                    <w:rPr>
                      <w:rFonts w:cs="Tahoma"/>
                      <w:b w:val="0"/>
                    </w:rPr>
                  </w:pPr>
                  <w:r>
                    <w:t>Chart</w:t>
                  </w:r>
                  <w:r w:rsidRPr="00E8302F">
                    <w:t xml:space="preserve"> </w:t>
                  </w:r>
                  <w:fldSimple w:instr=" SEQ Графикон_бр. \* ARABIC ">
                    <w:r>
                      <w:rPr>
                        <w:noProof/>
                      </w:rPr>
                      <w:t>64</w:t>
                    </w:r>
                  </w:fldSimple>
                  <w:r w:rsidRPr="00E8302F">
                    <w:rPr>
                      <w:rFonts w:cs="Tahoma"/>
                      <w:lang w:val="mk-MK"/>
                    </w:rPr>
                    <w:t xml:space="preserve"> </w:t>
                  </w:r>
                </w:p>
                <w:p w:rsidR="00280598" w:rsidRPr="00FF6ADF" w:rsidRDefault="00280598" w:rsidP="00B56B61">
                  <w:pPr>
                    <w:pStyle w:val="Caption"/>
                    <w:rPr>
                      <w:rFonts w:cs="Tahoma"/>
                      <w:b w:val="0"/>
                      <w:lang w:val="mk-MK"/>
                    </w:rPr>
                  </w:pPr>
                  <w:r>
                    <w:rPr>
                      <w:rFonts w:cs="Tahoma"/>
                      <w:szCs w:val="20"/>
                    </w:rPr>
                    <w:t>Structure of regulatory capital according to usage for covering risks</w:t>
                  </w:r>
                </w:p>
                <w:p w:rsidR="00280598" w:rsidRDefault="00280598" w:rsidP="00B56B61">
                  <w:pPr>
                    <w:rPr>
                      <w:sz w:val="18"/>
                      <w:szCs w:val="18"/>
                    </w:rPr>
                  </w:pPr>
                  <w:r>
                    <w:rPr>
                      <w:sz w:val="18"/>
                      <w:szCs w:val="18"/>
                    </w:rPr>
                    <w:t>in percentages</w:t>
                  </w:r>
                </w:p>
                <w:p w:rsidR="00280598" w:rsidRPr="00B12CF0" w:rsidRDefault="00280598" w:rsidP="00B56B61">
                  <w:pPr>
                    <w:rPr>
                      <w:sz w:val="18"/>
                      <w:szCs w:val="18"/>
                    </w:rPr>
                  </w:pPr>
                  <w:r w:rsidRPr="005B5E6F">
                    <w:rPr>
                      <w:noProof/>
                    </w:rPr>
                    <w:drawing>
                      <wp:inline distT="0" distB="0" distL="0" distR="0">
                        <wp:extent cx="2926715" cy="2831324"/>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6715" cy="2831324"/>
                                </a:xfrm>
                                <a:prstGeom prst="rect">
                                  <a:avLst/>
                                </a:prstGeom>
                                <a:noFill/>
                                <a:ln>
                                  <a:noFill/>
                                </a:ln>
                              </pic:spPr>
                            </pic:pic>
                          </a:graphicData>
                        </a:graphic>
                      </wp:inline>
                    </w:drawing>
                  </w:r>
                </w:p>
                <w:p w:rsidR="00280598" w:rsidRDefault="00280598" w:rsidP="00B56B61">
                  <w:pPr>
                    <w:rPr>
                      <w:rFonts w:cs="Tahoma"/>
                      <w:sz w:val="18"/>
                      <w:szCs w:val="18"/>
                    </w:rPr>
                  </w:pPr>
                  <w:r>
                    <w:rPr>
                      <w:sz w:val="18"/>
                      <w:szCs w:val="18"/>
                    </w:rPr>
                    <w:t>Source</w:t>
                  </w:r>
                  <w:r w:rsidRPr="00E8302F">
                    <w:rPr>
                      <w:sz w:val="18"/>
                      <w:szCs w:val="18"/>
                      <w:lang w:val="mk-MK"/>
                    </w:rPr>
                    <w:t>:</w:t>
                  </w:r>
                  <w:r w:rsidRPr="00E8302F">
                    <w:rPr>
                      <w:rFonts w:cs="Tahoma"/>
                      <w:sz w:val="18"/>
                      <w:szCs w:val="18"/>
                      <w:lang w:val="mk-MK"/>
                    </w:rPr>
                    <w:t xml:space="preserve"> </w:t>
                  </w:r>
                  <w:r>
                    <w:rPr>
                      <w:rFonts w:cs="Tahoma"/>
                      <w:sz w:val="18"/>
                      <w:szCs w:val="18"/>
                    </w:rPr>
                    <w:t>NBRM</w:t>
                  </w:r>
                  <w:r w:rsidRPr="00E8302F">
                    <w:rPr>
                      <w:rFonts w:cs="Tahoma"/>
                      <w:sz w:val="18"/>
                      <w:szCs w:val="18"/>
                      <w:lang w:val="mk-MK"/>
                    </w:rPr>
                    <w:t xml:space="preserve">, </w:t>
                  </w:r>
                  <w:r>
                    <w:rPr>
                      <w:rFonts w:cs="Tahoma"/>
                      <w:sz w:val="18"/>
                      <w:szCs w:val="18"/>
                    </w:rPr>
                    <w:t>based on data submitted by banks.</w:t>
                  </w:r>
                </w:p>
                <w:p w:rsidR="00280598" w:rsidRPr="00782059" w:rsidRDefault="00280598" w:rsidP="00B56B61">
                  <w:pPr>
                    <w:rPr>
                      <w:rFonts w:cs="Tahoma"/>
                      <w:sz w:val="18"/>
                      <w:szCs w:val="18"/>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Pr="008476D5" w:rsidRDefault="00280598" w:rsidP="00B56B61">
                  <w:pPr>
                    <w:rPr>
                      <w:sz w:val="20"/>
                      <w:szCs w:val="20"/>
                      <w:lang w:val="mk-MK"/>
                    </w:rPr>
                  </w:pPr>
                </w:p>
              </w:txbxContent>
            </v:textbox>
          </v:shape>
        </w:pict>
      </w:r>
      <w:r w:rsidR="00B56B61" w:rsidRPr="005F1ACB">
        <w:rPr>
          <w:rFonts w:cs="Tahoma"/>
          <w:bCs/>
          <w:lang w:val="en-GB"/>
        </w:rPr>
        <w:t>In 2013, the regulatory capital required to cover the risks of the banking system (or capital requirements)</w:t>
      </w:r>
      <w:r w:rsidR="00B56B61" w:rsidRPr="005F1ACB">
        <w:rPr>
          <w:rStyle w:val="FootnoteReference"/>
          <w:rFonts w:cs="Tahoma"/>
          <w:bCs/>
          <w:lang w:val="en-GB"/>
        </w:rPr>
        <w:footnoteReference w:id="48"/>
      </w:r>
      <w:r w:rsidR="00B56B61" w:rsidRPr="005F1ACB">
        <w:rPr>
          <w:rFonts w:cs="Tahoma"/>
          <w:bCs/>
          <w:lang w:val="en-GB"/>
        </w:rPr>
        <w:t xml:space="preserve"> increased by Denar 823 million (or 4%). The capital requirement for credit risk had the largest contribution to the growth of total capital requirements of the banking system. The capital requirement for credit risk increased by Denar 775 million (or 4.3%), mostly as a result of the growth in the small loans portfolio and claims on other companies, but it is partly a result of the rising claims on banks. Capital requirement for currency risk increased by moderate Denar 5 million (or 0.8%)</w:t>
      </w:r>
      <w:r w:rsidR="00B56B61" w:rsidRPr="005F1ACB">
        <w:rPr>
          <w:rStyle w:val="FootnoteReference"/>
          <w:rFonts w:cs="Tahoma"/>
          <w:bCs/>
          <w:lang w:val="en-GB"/>
        </w:rPr>
        <w:footnoteReference w:id="49"/>
      </w:r>
      <w:r w:rsidR="00B56B61" w:rsidRPr="005F1ACB">
        <w:rPr>
          <w:rFonts w:cs="Tahoma"/>
          <w:bCs/>
          <w:lang w:val="en-GB"/>
        </w:rPr>
        <w:t>. After the introduction of the requirement for operational risk, in 2012, when this capital requirement was set relatively high, during 2013, the amount of capital requirement for operational risk stabilized and grew by Denar 43 million (or 1.9%). Own funds above the minimum level necessary to cover the risks increased by Denar 214 million (or 0.9%), whereby the trend of accumulation of "free" capital in the banking system continued, although less intensively than in previous years.</w:t>
      </w: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803610" w:rsidP="00B56B61">
      <w:pPr>
        <w:ind w:firstLine="706"/>
        <w:rPr>
          <w:rFonts w:cs="Tahoma"/>
          <w:bCs/>
          <w:lang w:val="en-GB"/>
        </w:rPr>
      </w:pPr>
      <w:r w:rsidRPr="00803610">
        <w:rPr>
          <w:rFonts w:cs="Tahoma"/>
          <w:bCs/>
          <w:noProof/>
          <w:lang w:val="en-GB"/>
        </w:rPr>
        <w:lastRenderedPageBreak/>
        <w:pict>
          <v:shape id="_x0000_s1213" type="#_x0000_t202" style="position:absolute;left:0;text-align:left;margin-left:-229.05pt;margin-top:-7.35pt;width:468.05pt;height:211.4pt;z-index:251732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" stroked="f" strokecolor="black [3213]">
            <v:textbox style="mso-next-textbox:#_x0000_s1213" inset="0,0,0,0">
              <w:txbxContent>
                <w:p w:rsidR="00280598" w:rsidRPr="003567B3" w:rsidRDefault="00280598" w:rsidP="00B56B61">
                  <w:pPr>
                    <w:pStyle w:val="Caption"/>
                    <w:rPr>
                      <w:rFonts w:cs="Tahoma"/>
                      <w:b w:val="0"/>
                      <w:lang w:val="mk-MK"/>
                    </w:rPr>
                  </w:pPr>
                  <w:r>
                    <w:rPr>
                      <w:rFonts w:cs="Tahoma"/>
                    </w:rPr>
                    <w:t>Table</w:t>
                  </w:r>
                  <w:r w:rsidRPr="003567B3">
                    <w:rPr>
                      <w:rFonts w:cs="Tahoma"/>
                    </w:rPr>
                    <w:t xml:space="preserve"> </w:t>
                  </w:r>
                  <w:r w:rsidR="00803610" w:rsidRPr="003567B3">
                    <w:rPr>
                      <w:rFonts w:cs="Tahoma"/>
                      <w:b w:val="0"/>
                    </w:rPr>
                    <w:fldChar w:fldCharType="begin"/>
                  </w:r>
                  <w:r w:rsidRPr="003567B3">
                    <w:rPr>
                      <w:rFonts w:cs="Tahoma"/>
                    </w:rPr>
                    <w:instrText xml:space="preserve"> SEQ Табела_бр. \* ARABIC </w:instrText>
                  </w:r>
                  <w:r w:rsidR="00803610" w:rsidRPr="003567B3">
                    <w:rPr>
                      <w:rFonts w:cs="Tahoma"/>
                      <w:b w:val="0"/>
                    </w:rPr>
                    <w:fldChar w:fldCharType="separate"/>
                  </w:r>
                  <w:r>
                    <w:rPr>
                      <w:rFonts w:cs="Tahoma"/>
                      <w:noProof/>
                    </w:rPr>
                    <w:t>3</w:t>
                  </w:r>
                  <w:r w:rsidR="00803610" w:rsidRPr="003567B3">
                    <w:rPr>
                      <w:rFonts w:cs="Tahoma"/>
                      <w:b w:val="0"/>
                    </w:rPr>
                    <w:fldChar w:fldCharType="end"/>
                  </w:r>
                </w:p>
                <w:p w:rsidR="00280598" w:rsidRPr="0088601C" w:rsidRDefault="00280598" w:rsidP="00B56B61">
                  <w:pPr>
                    <w:rPr>
                      <w:b/>
                      <w:sz w:val="20"/>
                      <w:szCs w:val="20"/>
                    </w:rPr>
                  </w:pPr>
                  <w:r w:rsidRPr="0088601C">
                    <w:rPr>
                      <w:b/>
                      <w:sz w:val="20"/>
                      <w:szCs w:val="20"/>
                    </w:rPr>
                    <w:t>Capital requirements for credit risk, by categories of exposure (activity)</w:t>
                  </w:r>
                </w:p>
                <w:p w:rsidR="00280598" w:rsidRPr="006752F9" w:rsidRDefault="00280598" w:rsidP="00B56B61">
                  <w:pPr>
                    <w:rPr>
                      <w:sz w:val="18"/>
                      <w:szCs w:val="18"/>
                    </w:rPr>
                  </w:pPr>
                  <w:r>
                    <w:rPr>
                      <w:sz w:val="18"/>
                      <w:szCs w:val="18"/>
                    </w:rPr>
                    <w:t>in millions of Denars</w:t>
                  </w:r>
                  <w:r>
                    <w:rPr>
                      <w:sz w:val="18"/>
                      <w:szCs w:val="18"/>
                      <w:lang w:val="mk-MK"/>
                    </w:rPr>
                    <w:t xml:space="preserve">, </w:t>
                  </w:r>
                  <w:r>
                    <w:rPr>
                      <w:sz w:val="18"/>
                      <w:szCs w:val="18"/>
                    </w:rPr>
                    <w:t>unless stated otherwise</w:t>
                  </w:r>
                </w:p>
                <w:p w:rsidR="00280598" w:rsidRDefault="00280598" w:rsidP="00B56B61">
                  <w:pPr>
                    <w:rPr>
                      <w:sz w:val="18"/>
                      <w:szCs w:val="18"/>
                      <w:lang w:val="mk-MK"/>
                    </w:rPr>
                  </w:pPr>
                  <w:r w:rsidRPr="006752F9">
                    <w:rPr>
                      <w:noProof/>
                    </w:rPr>
                    <w:drawing>
                      <wp:inline distT="0" distB="0" distL="0" distR="0">
                        <wp:extent cx="5944235" cy="2042091"/>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4235" cy="2042091"/>
                                </a:xfrm>
                                <a:prstGeom prst="rect">
                                  <a:avLst/>
                                </a:prstGeom>
                                <a:noFill/>
                                <a:ln>
                                  <a:noFill/>
                                </a:ln>
                              </pic:spPr>
                            </pic:pic>
                          </a:graphicData>
                        </a:graphic>
                      </wp:inline>
                    </w:drawing>
                  </w:r>
                </w:p>
                <w:p w:rsidR="00280598" w:rsidRDefault="00280598" w:rsidP="00B56B61">
                  <w:pPr>
                    <w:rPr>
                      <w:rFonts w:cs="Tahoma"/>
                      <w:sz w:val="18"/>
                      <w:szCs w:val="18"/>
                    </w:rPr>
                  </w:pPr>
                  <w:r>
                    <w:rPr>
                      <w:sz w:val="18"/>
                      <w:szCs w:val="18"/>
                    </w:rPr>
                    <w:t>Source</w:t>
                  </w:r>
                  <w:r w:rsidRPr="00E8302F">
                    <w:rPr>
                      <w:sz w:val="18"/>
                      <w:szCs w:val="18"/>
                      <w:lang w:val="mk-MK"/>
                    </w:rPr>
                    <w:t>:</w:t>
                  </w:r>
                  <w:r w:rsidRPr="00E8302F">
                    <w:rPr>
                      <w:rFonts w:cs="Tahoma"/>
                      <w:sz w:val="18"/>
                      <w:szCs w:val="18"/>
                      <w:lang w:val="mk-MK"/>
                    </w:rPr>
                    <w:t xml:space="preserve"> </w:t>
                  </w:r>
                  <w:r>
                    <w:rPr>
                      <w:rFonts w:cs="Tahoma"/>
                      <w:sz w:val="18"/>
                      <w:szCs w:val="18"/>
                    </w:rPr>
                    <w:t>NBRM</w:t>
                  </w:r>
                  <w:r w:rsidRPr="00E8302F">
                    <w:rPr>
                      <w:rFonts w:cs="Tahoma"/>
                      <w:sz w:val="18"/>
                      <w:szCs w:val="18"/>
                      <w:lang w:val="mk-MK"/>
                    </w:rPr>
                    <w:t xml:space="preserve">, </w:t>
                  </w:r>
                  <w:r>
                    <w:rPr>
                      <w:rFonts w:cs="Tahoma"/>
                      <w:sz w:val="18"/>
                      <w:szCs w:val="18"/>
                    </w:rPr>
                    <w:t>based on data submitted by banks.</w:t>
                  </w: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Pr="008476D5" w:rsidRDefault="00280598" w:rsidP="00B56B61">
                  <w:pPr>
                    <w:rPr>
                      <w:sz w:val="20"/>
                      <w:szCs w:val="20"/>
                      <w:lang w:val="mk-MK"/>
                    </w:rPr>
                  </w:pPr>
                </w:p>
              </w:txbxContent>
            </v:textbox>
          </v:shape>
        </w:pict>
      </w: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B56B61" w:rsidRPr="005F1ACB" w:rsidRDefault="00803610" w:rsidP="0088601C">
      <w:pPr>
        <w:rPr>
          <w:rFonts w:cs="Tahoma"/>
          <w:bCs/>
          <w:lang w:val="en-GB"/>
        </w:rPr>
      </w:pPr>
      <w:r w:rsidRPr="00803610">
        <w:rPr>
          <w:rFonts w:cs="Tahoma"/>
          <w:bCs/>
          <w:noProof/>
          <w:lang w:val="en-GB"/>
        </w:rPr>
        <w:pict>
          <v:shape id="_x0000_s1212" type="#_x0000_t202" style="position:absolute;left:0;text-align:left;margin-left:-233.25pt;margin-top:12.5pt;width:223.2pt;height:352.5pt;z-index:251731968;v-text-anchor:middle" stroked="f" strokecolor="black [3213]">
            <v:textbox style="mso-next-textbox:#_x0000_s1212" inset="0,0,0,0">
              <w:txbxContent>
                <w:p w:rsidR="00280598" w:rsidRPr="00E8302F" w:rsidRDefault="00280598" w:rsidP="00B56B61">
                  <w:pPr>
                    <w:pStyle w:val="Caption"/>
                    <w:rPr>
                      <w:rFonts w:cs="Tahoma"/>
                      <w:b w:val="0"/>
                    </w:rPr>
                  </w:pPr>
                  <w:r>
                    <w:t>Chart</w:t>
                  </w:r>
                  <w:r w:rsidRPr="00E8302F">
                    <w:t xml:space="preserve"> </w:t>
                  </w:r>
                  <w:fldSimple w:instr=" SEQ Графикон_бр. \* ARABIC ">
                    <w:r>
                      <w:rPr>
                        <w:noProof/>
                      </w:rPr>
                      <w:t>65</w:t>
                    </w:r>
                  </w:fldSimple>
                  <w:r w:rsidRPr="00E8302F">
                    <w:rPr>
                      <w:rFonts w:cs="Tahoma"/>
                      <w:lang w:val="mk-MK"/>
                    </w:rPr>
                    <w:t xml:space="preserve"> </w:t>
                  </w:r>
                </w:p>
                <w:p w:rsidR="00280598" w:rsidRPr="00FF6ADF" w:rsidRDefault="00280598" w:rsidP="00B56B61">
                  <w:pPr>
                    <w:pStyle w:val="Caption"/>
                    <w:rPr>
                      <w:rFonts w:cs="Tahoma"/>
                      <w:b w:val="0"/>
                      <w:lang w:val="mk-MK"/>
                    </w:rPr>
                  </w:pPr>
                  <w:r>
                    <w:rPr>
                      <w:rFonts w:cs="Tahoma"/>
                    </w:rPr>
                    <w:t>Structure of banks’ total on-balance and off-balance sheet activities, by risk weights</w:t>
                  </w:r>
                  <w:r>
                    <w:rPr>
                      <w:rFonts w:cs="Tahoma"/>
                      <w:lang w:val="mk-MK"/>
                    </w:rPr>
                    <w:t xml:space="preserve"> **</w:t>
                  </w:r>
                </w:p>
                <w:p w:rsidR="00280598" w:rsidRPr="00B12CF0" w:rsidRDefault="00280598" w:rsidP="00B56B61">
                  <w:pPr>
                    <w:rPr>
                      <w:sz w:val="18"/>
                      <w:szCs w:val="18"/>
                    </w:rPr>
                  </w:pPr>
                  <w:r>
                    <w:rPr>
                      <w:sz w:val="18"/>
                      <w:szCs w:val="18"/>
                    </w:rPr>
                    <w:t>in percentages</w:t>
                  </w:r>
                </w:p>
                <w:p w:rsidR="00280598" w:rsidRDefault="00280598" w:rsidP="00B56B61">
                  <w:pPr>
                    <w:rPr>
                      <w:sz w:val="18"/>
                      <w:szCs w:val="18"/>
                      <w:lang w:val="mk-MK"/>
                    </w:rPr>
                  </w:pPr>
                  <w:r w:rsidRPr="005B5E6F">
                    <w:rPr>
                      <w:noProof/>
                    </w:rPr>
                    <w:drawing>
                      <wp:inline distT="0" distB="0" distL="0" distR="0">
                        <wp:extent cx="2834640" cy="2281357"/>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4640" cy="2281357"/>
                                </a:xfrm>
                                <a:prstGeom prst="rect">
                                  <a:avLst/>
                                </a:prstGeom>
                                <a:noFill/>
                                <a:ln>
                                  <a:noFill/>
                                </a:ln>
                              </pic:spPr>
                            </pic:pic>
                          </a:graphicData>
                        </a:graphic>
                      </wp:inline>
                    </w:drawing>
                  </w:r>
                </w:p>
                <w:p w:rsidR="00280598" w:rsidRDefault="00280598" w:rsidP="00B56B61">
                  <w:pPr>
                    <w:rPr>
                      <w:rFonts w:cs="Tahoma"/>
                      <w:sz w:val="18"/>
                      <w:szCs w:val="18"/>
                    </w:rPr>
                  </w:pPr>
                  <w:r>
                    <w:rPr>
                      <w:sz w:val="18"/>
                      <w:szCs w:val="18"/>
                    </w:rPr>
                    <w:t>Source</w:t>
                  </w:r>
                  <w:r w:rsidRPr="00E8302F">
                    <w:rPr>
                      <w:sz w:val="18"/>
                      <w:szCs w:val="18"/>
                      <w:lang w:val="mk-MK"/>
                    </w:rPr>
                    <w:t>:</w:t>
                  </w:r>
                  <w:r w:rsidRPr="00E8302F">
                    <w:rPr>
                      <w:rFonts w:cs="Tahoma"/>
                      <w:sz w:val="18"/>
                      <w:szCs w:val="18"/>
                      <w:lang w:val="mk-MK"/>
                    </w:rPr>
                    <w:t xml:space="preserve"> </w:t>
                  </w:r>
                  <w:r>
                    <w:rPr>
                      <w:rFonts w:cs="Tahoma"/>
                      <w:sz w:val="18"/>
                      <w:szCs w:val="18"/>
                    </w:rPr>
                    <w:t>NBRM</w:t>
                  </w:r>
                  <w:r w:rsidRPr="00E8302F">
                    <w:rPr>
                      <w:rFonts w:cs="Tahoma"/>
                      <w:sz w:val="18"/>
                      <w:szCs w:val="18"/>
                      <w:lang w:val="mk-MK"/>
                    </w:rPr>
                    <w:t xml:space="preserve">, </w:t>
                  </w:r>
                  <w:r>
                    <w:rPr>
                      <w:rFonts w:cs="Tahoma"/>
                      <w:sz w:val="18"/>
                      <w:szCs w:val="18"/>
                    </w:rPr>
                    <w:t>based on data submitted by banks.</w:t>
                  </w:r>
                </w:p>
                <w:p w:rsidR="00280598" w:rsidRDefault="00280598" w:rsidP="00B56B61">
                  <w:pPr>
                    <w:rPr>
                      <w:sz w:val="18"/>
                      <w:szCs w:val="18"/>
                    </w:rPr>
                  </w:pPr>
                  <w:r>
                    <w:rPr>
                      <w:rFonts w:cs="Tahoma"/>
                      <w:sz w:val="18"/>
                      <w:szCs w:val="18"/>
                    </w:rPr>
                    <w:t xml:space="preserve">Note: </w:t>
                  </w:r>
                  <w:r>
                    <w:rPr>
                      <w:sz w:val="18"/>
                      <w:szCs w:val="18"/>
                      <w:lang w:val="mk-MK"/>
                    </w:rPr>
                    <w:t xml:space="preserve">* </w:t>
                  </w:r>
                  <w:r>
                    <w:rPr>
                      <w:sz w:val="18"/>
                      <w:szCs w:val="18"/>
                    </w:rPr>
                    <w:t>The average risk weight is calculated as a ratio between credit risk weighted assets and total on-balance and off-balance sheet activities of banking system.</w:t>
                  </w:r>
                  <w:r>
                    <w:rPr>
                      <w:sz w:val="18"/>
                      <w:szCs w:val="18"/>
                      <w:lang w:val="mk-MK"/>
                    </w:rPr>
                    <w:t xml:space="preserve"> </w:t>
                  </w:r>
                </w:p>
                <w:p w:rsidR="00280598" w:rsidRPr="004A2AFA" w:rsidRDefault="00280598" w:rsidP="00B56B61">
                  <w:r>
                    <w:rPr>
                      <w:sz w:val="18"/>
                      <w:szCs w:val="18"/>
                      <w:lang w:val="mk-MK"/>
                    </w:rPr>
                    <w:t xml:space="preserve">** </w:t>
                  </w:r>
                  <w:r>
                    <w:rPr>
                      <w:sz w:val="18"/>
                      <w:szCs w:val="18"/>
                    </w:rPr>
                    <w:t xml:space="preserve">Since </w:t>
                  </w:r>
                  <w:r>
                    <w:rPr>
                      <w:sz w:val="18"/>
                      <w:szCs w:val="18"/>
                      <w:lang w:val="mk-MK"/>
                    </w:rPr>
                    <w:t xml:space="preserve">1.7.2012 </w:t>
                  </w:r>
                  <w:r>
                    <w:rPr>
                      <w:sz w:val="18"/>
                      <w:szCs w:val="18"/>
                    </w:rPr>
                    <w:t>new Decision on the methodology for determining capital adequacy ratio has been in force.</w:t>
                  </w:r>
                  <w:r>
                    <w:rPr>
                      <w:sz w:val="18"/>
                      <w:szCs w:val="18"/>
                      <w:lang w:val="mk-MK"/>
                    </w:rPr>
                    <w:t xml:space="preserve"> </w:t>
                  </w:r>
                  <w:r w:rsidRPr="00590884">
                    <w:rPr>
                      <w:sz w:val="18"/>
                      <w:szCs w:val="18"/>
                    </w:rPr>
                    <w:t xml:space="preserve">Hence, the comparability of the presented structure of banks' </w:t>
                  </w:r>
                  <w:r>
                    <w:rPr>
                      <w:sz w:val="18"/>
                      <w:szCs w:val="18"/>
                    </w:rPr>
                    <w:t>activities,</w:t>
                  </w:r>
                  <w:r w:rsidRPr="00590884">
                    <w:rPr>
                      <w:sz w:val="18"/>
                      <w:szCs w:val="18"/>
                    </w:rPr>
                    <w:t xml:space="preserve"> before and after 31.12.2012, is limited.</w:t>
                  </w:r>
                  <w:r w:rsidRPr="004A2AFA">
                    <w:t xml:space="preserve"> </w:t>
                  </w:r>
                </w:p>
                <w:p w:rsidR="00280598" w:rsidRPr="00782059" w:rsidRDefault="00280598" w:rsidP="00B56B61">
                  <w:pPr>
                    <w:rPr>
                      <w:rFonts w:cs="Tahoma"/>
                      <w:sz w:val="18"/>
                      <w:szCs w:val="18"/>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Pr="008476D5" w:rsidRDefault="00280598" w:rsidP="00B56B61">
                  <w:pPr>
                    <w:rPr>
                      <w:sz w:val="20"/>
                      <w:szCs w:val="20"/>
                      <w:lang w:val="mk-MK"/>
                    </w:rPr>
                  </w:pPr>
                </w:p>
              </w:txbxContent>
            </v:textbox>
          </v:shape>
        </w:pict>
      </w:r>
    </w:p>
    <w:p w:rsidR="00B56B61" w:rsidRPr="005F1ACB" w:rsidRDefault="00B56B61" w:rsidP="00B56B61">
      <w:pPr>
        <w:ind w:firstLine="706"/>
        <w:rPr>
          <w:rFonts w:cs="Tahoma"/>
          <w:bCs/>
          <w:lang w:val="en-GB"/>
        </w:rPr>
      </w:pPr>
      <w:r w:rsidRPr="005F1ACB">
        <w:rPr>
          <w:rFonts w:cs="Tahoma"/>
          <w:bCs/>
          <w:lang w:val="en-GB"/>
        </w:rPr>
        <w:t>Faster annual growth in lending (to households, businesses and partly to banks), with simultaneous more significant slowdown of the growth of liquid assets of the banking system, caused certain changes in the structure of the overall balance sheet and off-balance sheet exposure, according to risk weights. Thus, the overall structural share of the items with higher risk weights, of 50%, 75% and 100% increased by 1.3 percentage points at the expense of the reduced share of the exposure with lower risk weights, of 0% 20% and 35% in the total balance sheet and off-balance sheet exposure of the banking system. This structural change indicates some reduction in the banks' credit risk aversion. However, the average risk weight of the total balance sheet and off-balance sheet exposure of the banking system, measured as the ratio between credit risk weighted assets and total balance sheet and off-balance sheet exposures, registers further, although minimal decrease of 0.2 percentage points, indicating that banks are still cautious in taking risks.</w:t>
      </w:r>
    </w:p>
    <w:p w:rsidR="00B56B61" w:rsidRPr="005F1ACB" w:rsidRDefault="00B56B61" w:rsidP="009E6D39">
      <w:pPr>
        <w:rPr>
          <w:rFonts w:cs="Tahoma"/>
          <w:bCs/>
          <w:lang w:val="en-GB"/>
        </w:rPr>
      </w:pPr>
    </w:p>
    <w:p w:rsidR="00B56B61" w:rsidRPr="005F1ACB" w:rsidRDefault="00B56B61" w:rsidP="00B56B61">
      <w:pPr>
        <w:ind w:firstLine="706"/>
        <w:rPr>
          <w:rFonts w:cs="Tahoma"/>
          <w:bCs/>
          <w:lang w:val="en-GB"/>
        </w:rPr>
      </w:pPr>
      <w:r w:rsidRPr="005F1ACB">
        <w:rPr>
          <w:rFonts w:cs="Tahoma"/>
          <w:bCs/>
          <w:lang w:val="en-GB"/>
        </w:rPr>
        <w:t>More details on capital requirements for covering risks and on the capital adequacy ratio, by groups of banks, are provided in Annex 35.</w:t>
      </w:r>
    </w:p>
    <w:p w:rsidR="009E6D39" w:rsidRDefault="009E6D39" w:rsidP="00B56B61">
      <w:pPr>
        <w:ind w:firstLine="544"/>
        <w:rPr>
          <w:rFonts w:cs="Tahoma"/>
          <w:bCs/>
          <w:lang w:val="en-GB"/>
        </w:rPr>
      </w:pPr>
    </w:p>
    <w:p w:rsidR="009E6D39" w:rsidRDefault="009E6D39" w:rsidP="00B56B61">
      <w:pPr>
        <w:ind w:firstLine="544"/>
        <w:rPr>
          <w:rFonts w:cs="Tahoma"/>
          <w:bCs/>
          <w:lang w:val="en-GB"/>
        </w:rPr>
      </w:pPr>
    </w:p>
    <w:p w:rsidR="009E6D39" w:rsidRDefault="009E6D39" w:rsidP="00B56B61">
      <w:pPr>
        <w:ind w:firstLine="544"/>
        <w:rPr>
          <w:rFonts w:cs="Tahoma"/>
          <w:bCs/>
          <w:lang w:val="en-GB"/>
        </w:rPr>
      </w:pPr>
    </w:p>
    <w:p w:rsidR="009E6D39" w:rsidRDefault="009E6D39" w:rsidP="00B56B61">
      <w:pPr>
        <w:ind w:firstLine="544"/>
        <w:rPr>
          <w:rFonts w:cs="Tahoma"/>
          <w:bCs/>
          <w:lang w:val="en-GB"/>
        </w:rPr>
      </w:pPr>
    </w:p>
    <w:p w:rsidR="00B56B61" w:rsidRPr="005F1ACB" w:rsidRDefault="00B56B61" w:rsidP="00B56B61">
      <w:pPr>
        <w:ind w:firstLine="544"/>
        <w:rPr>
          <w:rFonts w:cs="Tahoma"/>
          <w:bCs/>
          <w:lang w:val="en-GB"/>
        </w:rPr>
      </w:pPr>
    </w:p>
    <w:p w:rsidR="00B56B61" w:rsidRPr="00F70592" w:rsidRDefault="00803610" w:rsidP="00C5550A">
      <w:pPr>
        <w:pStyle w:val="Heading3"/>
      </w:pPr>
      <w:r w:rsidRPr="00803610">
        <w:rPr>
          <w:noProof/>
          <w:lang w:val="en-GB"/>
        </w:rPr>
        <w:lastRenderedPageBreak/>
        <w:pict>
          <v:shape id="_x0000_s1214" type="#_x0000_t202" style="position:absolute;left:0;text-align:left;margin-left:-232.7pt;margin-top:-11.1pt;width:223.2pt;height:315pt;z-index:251734016;v-text-anchor:middle" stroked="f" strokecolor="black [3213]">
            <v:textbox style="mso-next-textbox:#_x0000_s1214" inset="0,0,0,0">
              <w:txbxContent>
                <w:p w:rsidR="00280598" w:rsidRPr="00E8302F" w:rsidRDefault="00280598" w:rsidP="00B56B61">
                  <w:pPr>
                    <w:pStyle w:val="Caption"/>
                    <w:rPr>
                      <w:rFonts w:cs="Tahoma"/>
                      <w:b w:val="0"/>
                    </w:rPr>
                  </w:pPr>
                  <w:r>
                    <w:t>Chart</w:t>
                  </w:r>
                  <w:r w:rsidRPr="00E8302F">
                    <w:t xml:space="preserve"> </w:t>
                  </w:r>
                  <w:fldSimple w:instr=" SEQ Графикон_бр. \* ARABIC ">
                    <w:r>
                      <w:rPr>
                        <w:noProof/>
                      </w:rPr>
                      <w:t>66</w:t>
                    </w:r>
                  </w:fldSimple>
                  <w:r w:rsidRPr="00E8302F">
                    <w:rPr>
                      <w:rFonts w:cs="Tahoma"/>
                      <w:lang w:val="mk-MK"/>
                    </w:rPr>
                    <w:t xml:space="preserve"> </w:t>
                  </w:r>
                </w:p>
                <w:p w:rsidR="00280598" w:rsidRPr="00FF6ADF" w:rsidRDefault="00280598" w:rsidP="00B56B61">
                  <w:pPr>
                    <w:pStyle w:val="Caption"/>
                    <w:rPr>
                      <w:rFonts w:cs="Tahoma"/>
                      <w:b w:val="0"/>
                      <w:lang w:val="mk-MK"/>
                    </w:rPr>
                  </w:pPr>
                  <w:r>
                    <w:rPr>
                      <w:rFonts w:cs="Tahoma"/>
                    </w:rPr>
                    <w:t>Capital adequacy ratio at the level of banking system, before and after simulations of credit shocks*</w:t>
                  </w:r>
                </w:p>
                <w:p w:rsidR="00280598" w:rsidRPr="00B12CF0" w:rsidRDefault="00280598" w:rsidP="00B56B61">
                  <w:pPr>
                    <w:rPr>
                      <w:sz w:val="18"/>
                      <w:szCs w:val="18"/>
                    </w:rPr>
                  </w:pPr>
                  <w:r>
                    <w:rPr>
                      <w:sz w:val="18"/>
                      <w:szCs w:val="18"/>
                    </w:rPr>
                    <w:t>in percentages</w:t>
                  </w:r>
                </w:p>
                <w:p w:rsidR="00280598" w:rsidRDefault="00280598" w:rsidP="00B56B61">
                  <w:pPr>
                    <w:rPr>
                      <w:sz w:val="18"/>
                      <w:szCs w:val="18"/>
                      <w:lang w:val="mk-MK"/>
                    </w:rPr>
                  </w:pPr>
                  <w:r w:rsidRPr="006752F9">
                    <w:rPr>
                      <w:noProof/>
                    </w:rPr>
                    <w:drawing>
                      <wp:inline distT="0" distB="0" distL="0" distR="0">
                        <wp:extent cx="2830664" cy="282271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4640" cy="2826678"/>
                                </a:xfrm>
                                <a:prstGeom prst="rect">
                                  <a:avLst/>
                                </a:prstGeom>
                                <a:noFill/>
                                <a:ln>
                                  <a:noFill/>
                                </a:ln>
                              </pic:spPr>
                            </pic:pic>
                          </a:graphicData>
                        </a:graphic>
                      </wp:inline>
                    </w:drawing>
                  </w:r>
                </w:p>
                <w:p w:rsidR="00280598" w:rsidRDefault="00280598" w:rsidP="00B56B61">
                  <w:pPr>
                    <w:rPr>
                      <w:rFonts w:cs="Tahoma"/>
                      <w:sz w:val="18"/>
                      <w:szCs w:val="18"/>
                    </w:rPr>
                  </w:pPr>
                  <w:r>
                    <w:rPr>
                      <w:sz w:val="18"/>
                      <w:szCs w:val="18"/>
                    </w:rPr>
                    <w:t>Source</w:t>
                  </w:r>
                  <w:r w:rsidRPr="00E8302F">
                    <w:rPr>
                      <w:sz w:val="18"/>
                      <w:szCs w:val="18"/>
                      <w:lang w:val="mk-MK"/>
                    </w:rPr>
                    <w:t>:</w:t>
                  </w:r>
                  <w:r w:rsidRPr="00E8302F">
                    <w:rPr>
                      <w:rFonts w:cs="Tahoma"/>
                      <w:sz w:val="18"/>
                      <w:szCs w:val="18"/>
                      <w:lang w:val="mk-MK"/>
                    </w:rPr>
                    <w:t xml:space="preserve"> </w:t>
                  </w:r>
                  <w:r>
                    <w:rPr>
                      <w:rFonts w:cs="Tahoma"/>
                      <w:sz w:val="18"/>
                      <w:szCs w:val="18"/>
                    </w:rPr>
                    <w:t>NBRM</w:t>
                  </w:r>
                  <w:r w:rsidRPr="00E8302F">
                    <w:rPr>
                      <w:rFonts w:cs="Tahoma"/>
                      <w:sz w:val="18"/>
                      <w:szCs w:val="18"/>
                      <w:lang w:val="mk-MK"/>
                    </w:rPr>
                    <w:t xml:space="preserve">, </w:t>
                  </w:r>
                  <w:r>
                    <w:rPr>
                      <w:rFonts w:cs="Tahoma"/>
                      <w:sz w:val="18"/>
                      <w:szCs w:val="18"/>
                    </w:rPr>
                    <w:t>based on data submitted by banks.</w:t>
                  </w:r>
                </w:p>
                <w:p w:rsidR="00280598" w:rsidRPr="009E6D39" w:rsidRDefault="00280598" w:rsidP="00B56B61">
                  <w:pPr>
                    <w:pStyle w:val="Caption"/>
                    <w:rPr>
                      <w:rFonts w:cs="Tahoma"/>
                      <w:b w:val="0"/>
                      <w:sz w:val="18"/>
                      <w:szCs w:val="18"/>
                      <w:lang w:val="mk-MK"/>
                    </w:rPr>
                  </w:pPr>
                  <w:r w:rsidRPr="009E6D39">
                    <w:rPr>
                      <w:rFonts w:cs="Tahoma"/>
                      <w:b w:val="0"/>
                      <w:sz w:val="18"/>
                      <w:szCs w:val="18"/>
                    </w:rPr>
                    <w:t xml:space="preserve">Note: </w:t>
                  </w:r>
                  <w:r w:rsidRPr="009E6D39">
                    <w:rPr>
                      <w:b w:val="0"/>
                      <w:sz w:val="18"/>
                      <w:szCs w:val="18"/>
                      <w:lang w:val="mk-MK"/>
                    </w:rPr>
                    <w:t xml:space="preserve">* </w:t>
                  </w:r>
                  <w:r w:rsidRPr="009E6D39">
                    <w:rPr>
                      <w:b w:val="0"/>
                      <w:sz w:val="18"/>
                      <w:szCs w:val="18"/>
                    </w:rPr>
                    <w:t>Results on part of the simulations are not available before 31.12.2012</w:t>
                  </w:r>
                  <w:r w:rsidRPr="009E6D39">
                    <w:rPr>
                      <w:b w:val="0"/>
                      <w:lang w:val="mk-MK"/>
                    </w:rPr>
                    <w:t xml:space="preserve"> </w:t>
                  </w:r>
                </w:p>
                <w:p w:rsidR="00280598" w:rsidRPr="00782059" w:rsidRDefault="00280598" w:rsidP="00B56B61">
                  <w:pPr>
                    <w:rPr>
                      <w:rFonts w:cs="Tahoma"/>
                      <w:sz w:val="18"/>
                      <w:szCs w:val="18"/>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Pr="008476D5" w:rsidRDefault="00280598" w:rsidP="00B56B61">
                  <w:pPr>
                    <w:rPr>
                      <w:sz w:val="20"/>
                      <w:szCs w:val="20"/>
                      <w:lang w:val="mk-MK"/>
                    </w:rPr>
                  </w:pPr>
                </w:p>
              </w:txbxContent>
            </v:textbox>
          </v:shape>
        </w:pict>
      </w:r>
      <w:bookmarkStart w:id="69" w:name="_Toc393283601"/>
      <w:r w:rsidR="00B56B61" w:rsidRPr="00F70592">
        <w:t>Stress testing of the resilience of the banking system to hypothetical shocks</w:t>
      </w:r>
      <w:bookmarkEnd w:id="69"/>
    </w:p>
    <w:p w:rsidR="00B56B61" w:rsidRPr="005F1ACB" w:rsidRDefault="00B56B61" w:rsidP="00B56B61">
      <w:pPr>
        <w:ind w:firstLine="544"/>
        <w:rPr>
          <w:rFonts w:cs="Tahoma"/>
          <w:bCs/>
          <w:lang w:val="en-GB"/>
        </w:rPr>
      </w:pPr>
    </w:p>
    <w:p w:rsidR="00B56B61" w:rsidRPr="005F1ACB" w:rsidRDefault="00B56B61" w:rsidP="00B56B61">
      <w:pPr>
        <w:ind w:firstLine="706"/>
        <w:rPr>
          <w:rFonts w:cs="Tahoma"/>
          <w:lang w:val="en-GB"/>
        </w:rPr>
      </w:pPr>
      <w:bookmarkStart w:id="70" w:name="_Toc342911647"/>
      <w:bookmarkEnd w:id="70"/>
      <w:r w:rsidRPr="005F1ACB">
        <w:rPr>
          <w:rFonts w:cs="Tahoma"/>
          <w:lang w:val="en-GB"/>
        </w:rPr>
        <w:t>Conducted testing of the resilience of the banking system and of individual banks in the Republic of Macedonia to simulated shocks indicates slightly weaker results compared with the end of 2012. Capital adequacy of the banking system does not go below 8% in any of the simulations, although individual banks reveal hypothetical need for recapitalization in the event of possible materialization of the simulated extreme shocks.</w:t>
      </w:r>
    </w:p>
    <w:p w:rsidR="00B56B61" w:rsidRPr="005F1ACB" w:rsidRDefault="00B56B61" w:rsidP="00B56B61">
      <w:pPr>
        <w:ind w:firstLine="706"/>
        <w:rPr>
          <w:rFonts w:cs="Tahoma"/>
          <w:lang w:val="en-GB"/>
        </w:rPr>
      </w:pPr>
    </w:p>
    <w:p w:rsidR="00B56B61" w:rsidRPr="005F1ACB" w:rsidRDefault="00803610" w:rsidP="00B56B61">
      <w:pPr>
        <w:ind w:firstLine="706"/>
        <w:rPr>
          <w:rFonts w:cs="Tahoma"/>
          <w:lang w:val="en-GB"/>
        </w:rPr>
      </w:pPr>
      <w:r w:rsidRPr="00803610">
        <w:rPr>
          <w:rFonts w:cs="Tahoma"/>
          <w:noProof/>
          <w:lang w:val="en-GB"/>
        </w:rPr>
        <w:pict>
          <v:shape id="_x0000_s1215" type="#_x0000_t202" style="position:absolute;left:0;text-align:left;margin-left:-232.7pt;margin-top:118.05pt;width:223.2pt;height:293.25pt;z-index:251735040;v-text-anchor:middle" stroked="f" strokecolor="black [3213]">
            <v:textbox style="mso-next-textbox:#_x0000_s1215" inset="0,0,0,0">
              <w:txbxContent>
                <w:p w:rsidR="00280598" w:rsidRPr="00E8302F" w:rsidRDefault="00280598" w:rsidP="00B56B61">
                  <w:pPr>
                    <w:pStyle w:val="Caption"/>
                    <w:rPr>
                      <w:rFonts w:cs="Tahoma"/>
                      <w:b w:val="0"/>
                    </w:rPr>
                  </w:pPr>
                  <w:r>
                    <w:t>Chart</w:t>
                  </w:r>
                  <w:r w:rsidRPr="00E8302F">
                    <w:t xml:space="preserve"> </w:t>
                  </w:r>
                  <w:fldSimple w:instr=" SEQ Графикон_бр. \* ARABIC ">
                    <w:r>
                      <w:rPr>
                        <w:noProof/>
                      </w:rPr>
                      <w:t>67</w:t>
                    </w:r>
                  </w:fldSimple>
                  <w:r w:rsidRPr="00E8302F">
                    <w:rPr>
                      <w:rFonts w:cs="Tahoma"/>
                      <w:lang w:val="mk-MK"/>
                    </w:rPr>
                    <w:t xml:space="preserve"> </w:t>
                  </w:r>
                </w:p>
                <w:p w:rsidR="00280598" w:rsidRPr="00FF6ADF" w:rsidRDefault="00280598" w:rsidP="00B56B61">
                  <w:pPr>
                    <w:pStyle w:val="Caption"/>
                    <w:rPr>
                      <w:rFonts w:cs="Tahoma"/>
                      <w:b w:val="0"/>
                      <w:lang w:val="mk-MK"/>
                    </w:rPr>
                  </w:pPr>
                  <w:r>
                    <w:rPr>
                      <w:rFonts w:cs="Tahoma"/>
                    </w:rPr>
                    <w:t>Capital adequacy ratio at the level of banking system, before and after simulations of combined shocks*</w:t>
                  </w:r>
                </w:p>
                <w:p w:rsidR="00280598" w:rsidRPr="00B12CF0" w:rsidRDefault="00280598" w:rsidP="00B56B61">
                  <w:pPr>
                    <w:rPr>
                      <w:sz w:val="18"/>
                      <w:szCs w:val="18"/>
                    </w:rPr>
                  </w:pPr>
                  <w:r>
                    <w:rPr>
                      <w:sz w:val="18"/>
                      <w:szCs w:val="18"/>
                    </w:rPr>
                    <w:t>in percentages</w:t>
                  </w:r>
                </w:p>
                <w:p w:rsidR="00280598" w:rsidRDefault="00280598" w:rsidP="00B56B61">
                  <w:pPr>
                    <w:rPr>
                      <w:sz w:val="18"/>
                      <w:szCs w:val="18"/>
                      <w:lang w:val="mk-MK"/>
                    </w:rPr>
                  </w:pPr>
                  <w:r w:rsidRPr="00413DF3">
                    <w:rPr>
                      <w:noProof/>
                    </w:rPr>
                    <w:drawing>
                      <wp:inline distT="0" distB="0" distL="0" distR="0">
                        <wp:extent cx="2830664" cy="2552369"/>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4640" cy="2555954"/>
                                </a:xfrm>
                                <a:prstGeom prst="rect">
                                  <a:avLst/>
                                </a:prstGeom>
                                <a:noFill/>
                                <a:ln>
                                  <a:noFill/>
                                </a:ln>
                              </pic:spPr>
                            </pic:pic>
                          </a:graphicData>
                        </a:graphic>
                      </wp:inline>
                    </w:drawing>
                  </w:r>
                </w:p>
                <w:p w:rsidR="00280598" w:rsidRDefault="00280598" w:rsidP="00B56B61">
                  <w:pPr>
                    <w:rPr>
                      <w:rFonts w:cs="Tahoma"/>
                      <w:sz w:val="18"/>
                      <w:szCs w:val="18"/>
                    </w:rPr>
                  </w:pPr>
                  <w:r>
                    <w:rPr>
                      <w:sz w:val="18"/>
                      <w:szCs w:val="18"/>
                    </w:rPr>
                    <w:t>Source</w:t>
                  </w:r>
                  <w:r w:rsidRPr="00E8302F">
                    <w:rPr>
                      <w:sz w:val="18"/>
                      <w:szCs w:val="18"/>
                      <w:lang w:val="mk-MK"/>
                    </w:rPr>
                    <w:t>:</w:t>
                  </w:r>
                  <w:r w:rsidRPr="00E8302F">
                    <w:rPr>
                      <w:rFonts w:cs="Tahoma"/>
                      <w:sz w:val="18"/>
                      <w:szCs w:val="18"/>
                      <w:lang w:val="mk-MK"/>
                    </w:rPr>
                    <w:t xml:space="preserve"> </w:t>
                  </w:r>
                  <w:r>
                    <w:rPr>
                      <w:rFonts w:cs="Tahoma"/>
                      <w:sz w:val="18"/>
                      <w:szCs w:val="18"/>
                    </w:rPr>
                    <w:t>NBRM</w:t>
                  </w:r>
                  <w:r w:rsidRPr="00E8302F">
                    <w:rPr>
                      <w:rFonts w:cs="Tahoma"/>
                      <w:sz w:val="18"/>
                      <w:szCs w:val="18"/>
                      <w:lang w:val="mk-MK"/>
                    </w:rPr>
                    <w:t xml:space="preserve">, </w:t>
                  </w:r>
                  <w:r>
                    <w:rPr>
                      <w:rFonts w:cs="Tahoma"/>
                      <w:sz w:val="18"/>
                      <w:szCs w:val="18"/>
                    </w:rPr>
                    <w:t>based on data submitted by banks.</w:t>
                  </w:r>
                </w:p>
                <w:p w:rsidR="00280598" w:rsidRPr="009E6D39" w:rsidRDefault="00280598" w:rsidP="009E6D39">
                  <w:pPr>
                    <w:pStyle w:val="Caption"/>
                    <w:rPr>
                      <w:rFonts w:cs="Tahoma"/>
                      <w:b w:val="0"/>
                      <w:sz w:val="18"/>
                      <w:szCs w:val="18"/>
                    </w:rPr>
                  </w:pPr>
                  <w:r w:rsidRPr="009E6D39">
                    <w:rPr>
                      <w:rFonts w:cs="Tahoma"/>
                      <w:b w:val="0"/>
                      <w:sz w:val="18"/>
                      <w:szCs w:val="18"/>
                    </w:rPr>
                    <w:t xml:space="preserve">Note: </w:t>
                  </w:r>
                  <w:r w:rsidRPr="009E6D39">
                    <w:rPr>
                      <w:b w:val="0"/>
                      <w:sz w:val="18"/>
                      <w:szCs w:val="18"/>
                      <w:lang w:val="mk-MK"/>
                    </w:rPr>
                    <w:t xml:space="preserve">* </w:t>
                  </w:r>
                  <w:r w:rsidRPr="009E6D39">
                    <w:rPr>
                      <w:b w:val="0"/>
                      <w:sz w:val="18"/>
                      <w:szCs w:val="18"/>
                    </w:rPr>
                    <w:t>Results on part of the simulations are not available before 31.12.2012</w:t>
                  </w:r>
                  <w:r w:rsidRPr="009E6D39">
                    <w:rPr>
                      <w:b w:val="0"/>
                      <w:lang w:val="mk-MK"/>
                    </w:rPr>
                    <w:t xml:space="preserve"> </w:t>
                  </w: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Default="00280598" w:rsidP="00B56B61">
                  <w:pPr>
                    <w:rPr>
                      <w:lang w:val="mk-MK"/>
                    </w:rPr>
                  </w:pPr>
                </w:p>
                <w:p w:rsidR="00280598" w:rsidRPr="008476D5" w:rsidRDefault="00280598" w:rsidP="00B56B61">
                  <w:pPr>
                    <w:rPr>
                      <w:sz w:val="20"/>
                      <w:szCs w:val="20"/>
                      <w:lang w:val="mk-MK"/>
                    </w:rPr>
                  </w:pPr>
                </w:p>
              </w:txbxContent>
            </v:textbox>
          </v:shape>
        </w:pict>
      </w:r>
      <w:r w:rsidR="00B56B61" w:rsidRPr="005F1ACB">
        <w:rPr>
          <w:rFonts w:cs="Tahoma"/>
          <w:lang w:val="en-GB"/>
        </w:rPr>
        <w:t>The hypothetical shocks on the part of the credit risk have the greatest impact on the stability of the banking system. In the most extreme simulations presented in this report (increased credit exposure in risk categories "C", "D" and "E" by 80% and migration of 10% of the credit exposure classified in each of the risk categories "A" and "B" to higher risk categories), the capital adequacy of the banking system is reduced to a level of 8.6% each, which is close, but is still above the statutory minimum of 8%. The simulations show that the reduction of the capital adequacy of the banking system to the statutory minimum level of 8% requires an increase of 85.2%</w:t>
      </w:r>
      <w:r w:rsidR="00B56B61" w:rsidRPr="005F1ACB">
        <w:rPr>
          <w:rStyle w:val="FootnoteReference"/>
          <w:rFonts w:cs="Tahoma"/>
          <w:bCs/>
          <w:lang w:val="en-GB"/>
        </w:rPr>
        <w:footnoteReference w:id="50"/>
      </w:r>
      <w:r w:rsidR="00B56B61" w:rsidRPr="005F1ACB">
        <w:rPr>
          <w:rFonts w:cs="Tahoma"/>
          <w:lang w:val="en-GB"/>
        </w:rPr>
        <w:t xml:space="preserve"> of the credit exposure with a higher risk level, i.e. migration of 10.6%</w:t>
      </w:r>
      <w:r w:rsidR="00B56B61" w:rsidRPr="005F1ACB">
        <w:rPr>
          <w:rStyle w:val="FootnoteReference"/>
          <w:rFonts w:cs="Tahoma"/>
          <w:bCs/>
          <w:lang w:val="en-GB"/>
        </w:rPr>
        <w:footnoteReference w:id="51"/>
      </w:r>
      <w:r w:rsidR="00B56B61" w:rsidRPr="005F1ACB">
        <w:rPr>
          <w:rFonts w:cs="Tahoma"/>
          <w:lang w:val="en-GB"/>
        </w:rPr>
        <w:t xml:space="preserve"> of the credit exposure classified in each of the risk categories "A" and "B" to higher risk categories (these simulations would lead to a doubling of the share of non-performing loans in total loans, from the current 10.9% to 21.9%).</w:t>
      </w:r>
    </w:p>
    <w:p w:rsidR="00B56B61" w:rsidRPr="005F1ACB" w:rsidRDefault="00B56B61" w:rsidP="00B56B61">
      <w:pPr>
        <w:ind w:firstLine="706"/>
        <w:rPr>
          <w:rFonts w:cs="Tahoma"/>
          <w:lang w:val="en-GB"/>
        </w:rPr>
      </w:pPr>
    </w:p>
    <w:p w:rsidR="00B56B61" w:rsidRPr="005F1ACB" w:rsidRDefault="00B56B61" w:rsidP="00B56B61">
      <w:pPr>
        <w:ind w:firstLine="706"/>
        <w:rPr>
          <w:rFonts w:cs="Tahoma"/>
          <w:bCs/>
          <w:lang w:val="en-GB"/>
        </w:rPr>
      </w:pPr>
      <w:r w:rsidRPr="005F1ACB">
        <w:rPr>
          <w:rFonts w:cs="Tahoma"/>
          <w:lang w:val="en-GB"/>
        </w:rPr>
        <w:t>Isolated shocks on the part of the currency risk and interest rate risk do not have a more significant impact on the level of capital adequacy. However, their materialization would cause shocks on the part of the credit risk, whose impact on the capital adequacy of the banking system was already presented above</w:t>
      </w:r>
      <w:r w:rsidRPr="005F1ACB">
        <w:rPr>
          <w:rFonts w:cs="Tahoma"/>
          <w:bCs/>
          <w:lang w:val="en-GB"/>
        </w:rPr>
        <w:t>.</w:t>
      </w:r>
    </w:p>
    <w:p w:rsidR="00B56B61" w:rsidRPr="005F1ACB" w:rsidRDefault="00B56B61" w:rsidP="00B56B61">
      <w:pPr>
        <w:ind w:firstLine="706"/>
        <w:rPr>
          <w:rFonts w:cs="Tahoma"/>
          <w:bCs/>
          <w:lang w:val="en-GB"/>
        </w:rPr>
      </w:pPr>
    </w:p>
    <w:p w:rsidR="00205612" w:rsidRPr="00205612" w:rsidRDefault="00205612" w:rsidP="00205612">
      <w:pPr>
        <w:pStyle w:val="Heading1"/>
        <w:numPr>
          <w:ilvl w:val="0"/>
          <w:numId w:val="0"/>
        </w:numPr>
        <w:rPr>
          <w:sz w:val="22"/>
          <w:szCs w:val="22"/>
          <w:lang w:val="en-US"/>
        </w:rPr>
      </w:pPr>
    </w:p>
    <w:p w:rsidR="00205612" w:rsidRPr="00205612" w:rsidRDefault="00205612" w:rsidP="00205612">
      <w:pPr>
        <w:pStyle w:val="Heading1"/>
        <w:numPr>
          <w:ilvl w:val="0"/>
          <w:numId w:val="0"/>
        </w:numPr>
        <w:rPr>
          <w:sz w:val="22"/>
          <w:szCs w:val="22"/>
          <w:lang w:val="en-US"/>
        </w:rPr>
      </w:pPr>
    </w:p>
    <w:p w:rsidR="00205612" w:rsidRPr="00205612" w:rsidRDefault="00205612" w:rsidP="00205612">
      <w:pPr>
        <w:pStyle w:val="Heading1"/>
        <w:numPr>
          <w:ilvl w:val="0"/>
          <w:numId w:val="0"/>
        </w:numPr>
        <w:rPr>
          <w:sz w:val="22"/>
          <w:szCs w:val="22"/>
          <w:lang w:val="en-US"/>
        </w:rPr>
      </w:pPr>
    </w:p>
    <w:p w:rsidR="00205612" w:rsidRPr="00205612" w:rsidRDefault="00205612" w:rsidP="00205612">
      <w:pPr>
        <w:pStyle w:val="Heading1"/>
        <w:numPr>
          <w:ilvl w:val="0"/>
          <w:numId w:val="0"/>
        </w:numPr>
        <w:rPr>
          <w:sz w:val="22"/>
          <w:szCs w:val="22"/>
          <w:lang w:val="en-US"/>
        </w:rPr>
      </w:pPr>
    </w:p>
    <w:p w:rsidR="00205612" w:rsidRPr="00205612" w:rsidRDefault="00205612" w:rsidP="00205612">
      <w:pPr>
        <w:pStyle w:val="Heading1"/>
        <w:numPr>
          <w:ilvl w:val="0"/>
          <w:numId w:val="0"/>
        </w:numPr>
        <w:rPr>
          <w:sz w:val="22"/>
          <w:szCs w:val="22"/>
          <w:lang w:val="en-US"/>
        </w:rPr>
      </w:pPr>
    </w:p>
    <w:p w:rsidR="00205612" w:rsidRPr="00205612" w:rsidRDefault="00205612" w:rsidP="00205612">
      <w:pPr>
        <w:pStyle w:val="Heading1"/>
        <w:numPr>
          <w:ilvl w:val="0"/>
          <w:numId w:val="0"/>
        </w:numPr>
        <w:rPr>
          <w:sz w:val="22"/>
          <w:szCs w:val="22"/>
          <w:lang w:val="en-US"/>
        </w:rPr>
      </w:pPr>
    </w:p>
    <w:p w:rsidR="00205612" w:rsidRPr="00205612" w:rsidRDefault="00205612" w:rsidP="00205612">
      <w:pPr>
        <w:pStyle w:val="Heading1"/>
        <w:numPr>
          <w:ilvl w:val="0"/>
          <w:numId w:val="0"/>
        </w:numPr>
        <w:rPr>
          <w:sz w:val="22"/>
          <w:szCs w:val="22"/>
          <w:lang w:val="en-US"/>
        </w:rPr>
      </w:pPr>
    </w:p>
    <w:p w:rsidR="00205612" w:rsidRPr="00205612" w:rsidRDefault="00205612" w:rsidP="00205612">
      <w:pPr>
        <w:pStyle w:val="Heading1"/>
        <w:numPr>
          <w:ilvl w:val="0"/>
          <w:numId w:val="0"/>
        </w:numPr>
        <w:rPr>
          <w:sz w:val="22"/>
          <w:szCs w:val="22"/>
          <w:lang w:val="en-US"/>
        </w:rPr>
      </w:pPr>
    </w:p>
    <w:p w:rsidR="00205612" w:rsidRPr="00205612" w:rsidRDefault="00205612" w:rsidP="00205612">
      <w:pPr>
        <w:pStyle w:val="Heading1"/>
        <w:numPr>
          <w:ilvl w:val="0"/>
          <w:numId w:val="0"/>
        </w:numPr>
        <w:rPr>
          <w:sz w:val="22"/>
          <w:szCs w:val="22"/>
          <w:lang w:val="en-US"/>
        </w:rPr>
      </w:pPr>
    </w:p>
    <w:p w:rsidR="00205612" w:rsidRPr="00205612" w:rsidRDefault="00205612" w:rsidP="00205612">
      <w:pPr>
        <w:pStyle w:val="Heading1"/>
        <w:numPr>
          <w:ilvl w:val="0"/>
          <w:numId w:val="0"/>
        </w:numPr>
        <w:rPr>
          <w:sz w:val="22"/>
          <w:szCs w:val="22"/>
          <w:lang w:val="en-US"/>
        </w:rPr>
      </w:pPr>
    </w:p>
    <w:p w:rsidR="00205612" w:rsidRDefault="00205612" w:rsidP="00205612">
      <w:pPr>
        <w:pStyle w:val="Heading1"/>
        <w:numPr>
          <w:ilvl w:val="0"/>
          <w:numId w:val="0"/>
        </w:numPr>
        <w:rPr>
          <w:sz w:val="22"/>
          <w:szCs w:val="22"/>
          <w:lang w:val="en-US"/>
        </w:rPr>
      </w:pPr>
    </w:p>
    <w:p w:rsidR="00205612" w:rsidRDefault="00205612" w:rsidP="00205612"/>
    <w:p w:rsidR="00205612" w:rsidRDefault="00205612" w:rsidP="00205612"/>
    <w:p w:rsidR="00205612" w:rsidRPr="00205612" w:rsidRDefault="00205612" w:rsidP="00205612"/>
    <w:p w:rsidR="00205612" w:rsidRPr="00B5649A" w:rsidRDefault="00205612" w:rsidP="00997049">
      <w:pPr>
        <w:pStyle w:val="Heading1"/>
        <w:numPr>
          <w:ilvl w:val="0"/>
          <w:numId w:val="0"/>
        </w:numPr>
        <w:ind w:left="-4176"/>
        <w:jc w:val="center"/>
      </w:pPr>
      <w:bookmarkStart w:id="71" w:name="_Toc393283602"/>
      <w:r w:rsidRPr="00B5649A">
        <w:t>Part 2</w:t>
      </w:r>
      <w:r w:rsidR="00B5649A">
        <w:rPr>
          <w:lang w:val="en-US"/>
        </w:rPr>
        <w:t xml:space="preserve"> </w:t>
      </w:r>
      <w:r w:rsidR="00997049">
        <w:rPr>
          <w:lang w:val="en-US"/>
        </w:rPr>
        <w:t xml:space="preserve">                                                                                     </w:t>
      </w:r>
      <w:r w:rsidRPr="00B5649A">
        <w:t>Structural features, significant balance sheet changes and efficiency and profitability of the banking system in 2013</w:t>
      </w:r>
      <w:bookmarkEnd w:id="71"/>
    </w:p>
    <w:p w:rsidR="00205612" w:rsidRDefault="00205612" w:rsidP="00205612"/>
    <w:p w:rsidR="00205612" w:rsidRDefault="00205612" w:rsidP="00205612"/>
    <w:p w:rsidR="00205612" w:rsidRDefault="00205612" w:rsidP="00205612"/>
    <w:p w:rsidR="00205612" w:rsidRDefault="00205612" w:rsidP="00205612"/>
    <w:p w:rsidR="00205612" w:rsidRDefault="00205612" w:rsidP="00205612"/>
    <w:p w:rsidR="00205612" w:rsidRDefault="00205612" w:rsidP="00205612"/>
    <w:p w:rsidR="00205612" w:rsidRDefault="00205612" w:rsidP="00205612"/>
    <w:p w:rsidR="00205612" w:rsidRDefault="00205612" w:rsidP="00205612"/>
    <w:p w:rsidR="00205612" w:rsidRDefault="00205612" w:rsidP="00205612"/>
    <w:p w:rsidR="00205612" w:rsidRDefault="00205612" w:rsidP="00205612"/>
    <w:p w:rsidR="00205612" w:rsidRDefault="00205612" w:rsidP="00205612"/>
    <w:p w:rsidR="00205612" w:rsidRDefault="00205612" w:rsidP="00205612"/>
    <w:p w:rsidR="00205612" w:rsidRDefault="00205612" w:rsidP="00205612"/>
    <w:p w:rsidR="00205612" w:rsidRDefault="00205612" w:rsidP="00205612"/>
    <w:p w:rsidR="00205612" w:rsidRDefault="00205612" w:rsidP="00205612"/>
    <w:p w:rsidR="00205612" w:rsidRDefault="00205612" w:rsidP="00205612"/>
    <w:p w:rsidR="00205612" w:rsidRDefault="00205612" w:rsidP="00205612"/>
    <w:p w:rsidR="00205612" w:rsidRDefault="00205612" w:rsidP="00205612"/>
    <w:p w:rsidR="00205612" w:rsidRDefault="00205612" w:rsidP="00205612"/>
    <w:p w:rsidR="00205612" w:rsidRDefault="00205612" w:rsidP="00205612"/>
    <w:p w:rsidR="00205612" w:rsidRDefault="00205612" w:rsidP="00205612"/>
    <w:p w:rsidR="00205612" w:rsidRDefault="00205612" w:rsidP="00205612"/>
    <w:p w:rsidR="00205612" w:rsidRDefault="00205612" w:rsidP="00205612"/>
    <w:p w:rsidR="00205612" w:rsidRDefault="00205612" w:rsidP="00205612"/>
    <w:p w:rsidR="00205612" w:rsidRDefault="00205612" w:rsidP="00205612"/>
    <w:p w:rsidR="00205612" w:rsidRDefault="00205612" w:rsidP="00205612"/>
    <w:p w:rsidR="00205612" w:rsidRDefault="00205612" w:rsidP="00205612"/>
    <w:p w:rsidR="00205612" w:rsidRDefault="00205612" w:rsidP="00205612"/>
    <w:p w:rsidR="00205612" w:rsidRPr="00205612" w:rsidRDefault="00205612" w:rsidP="00205612"/>
    <w:p w:rsidR="00205612" w:rsidRPr="00205612" w:rsidRDefault="00205612" w:rsidP="00205612">
      <w:pPr>
        <w:pStyle w:val="Heading1"/>
        <w:rPr>
          <w:sz w:val="22"/>
          <w:szCs w:val="22"/>
        </w:rPr>
      </w:pPr>
      <w:bookmarkStart w:id="72" w:name="_Toc393283603"/>
      <w:r w:rsidRPr="00205612">
        <w:rPr>
          <w:sz w:val="22"/>
          <w:szCs w:val="22"/>
        </w:rPr>
        <w:lastRenderedPageBreak/>
        <w:t>Structure of the banking system</w:t>
      </w:r>
      <w:bookmarkEnd w:id="72"/>
      <w:r w:rsidRPr="00205612">
        <w:rPr>
          <w:sz w:val="22"/>
          <w:szCs w:val="22"/>
        </w:rPr>
        <w:t xml:space="preserve"> </w:t>
      </w:r>
    </w:p>
    <w:p w:rsidR="00205612" w:rsidRPr="008F15BB" w:rsidRDefault="00205612" w:rsidP="00205612">
      <w:pPr>
        <w:ind w:left="-4536" w:firstLine="708"/>
        <w:rPr>
          <w:rFonts w:eastAsia="Times New Roman" w:cs="Tahoma"/>
          <w:b/>
          <w:bCs/>
        </w:rPr>
      </w:pPr>
    </w:p>
    <w:p w:rsidR="00205612" w:rsidRPr="008F15BB" w:rsidRDefault="00205612" w:rsidP="00C5550A">
      <w:pPr>
        <w:pStyle w:val="Heading2"/>
      </w:pPr>
      <w:bookmarkStart w:id="73" w:name="_Toc393283604"/>
      <w:r w:rsidRPr="008F15BB">
        <w:t>Access to banking services</w:t>
      </w:r>
      <w:bookmarkEnd w:id="73"/>
      <w:r w:rsidRPr="008F15BB">
        <w:t xml:space="preserve"> </w:t>
      </w:r>
    </w:p>
    <w:p w:rsidR="00205612" w:rsidRPr="008F15BB" w:rsidRDefault="00205612" w:rsidP="00205612">
      <w:pPr>
        <w:ind w:left="-4536" w:firstLine="708"/>
        <w:rPr>
          <w:rFonts w:eastAsia="Times New Roman" w:cs="Tahoma"/>
          <w:b/>
          <w:bCs/>
        </w:rPr>
      </w:pPr>
    </w:p>
    <w:p w:rsidR="00205612" w:rsidRPr="008F15BB" w:rsidRDefault="00205612" w:rsidP="00205612">
      <w:pPr>
        <w:ind w:left="-4536" w:firstLine="708"/>
        <w:rPr>
          <w:b/>
        </w:rPr>
      </w:pPr>
      <w:r w:rsidRPr="008F15BB">
        <w:rPr>
          <w:rFonts w:eastAsia="Times New Roman" w:cs="Tahoma"/>
          <w:b/>
          <w:bCs/>
        </w:rPr>
        <w:t>As of December 31, 2013, the banking system in the Republic of Macedonia consists of sixteen banks and four savings houses. The total number of banks remains unchanged compared to the previous year, while the number of savings houses declined by three</w:t>
      </w:r>
      <w:r w:rsidRPr="008F15BB">
        <w:rPr>
          <w:rStyle w:val="FootnoteReference"/>
          <w:b/>
        </w:rPr>
        <w:footnoteReference w:id="52"/>
      </w:r>
      <w:r w:rsidRPr="008F15BB">
        <w:rPr>
          <w:rFonts w:eastAsia="Times New Roman" w:cs="Tahoma"/>
          <w:b/>
          <w:bCs/>
        </w:rPr>
        <w:t>. Given the insignificant share of savings houses in the total banking system, they are not included in the analyses in this Report</w:t>
      </w:r>
      <w:r w:rsidRPr="008F15BB">
        <w:rPr>
          <w:rStyle w:val="FootnoteReference"/>
          <w:b/>
        </w:rPr>
        <w:footnoteReference w:id="53"/>
      </w:r>
      <w:r w:rsidRPr="008F15BB">
        <w:rPr>
          <w:b/>
        </w:rPr>
        <w:t xml:space="preserve">. </w:t>
      </w:r>
    </w:p>
    <w:p w:rsidR="00205612" w:rsidRPr="008F15BB" w:rsidRDefault="00205612" w:rsidP="00205612">
      <w:pPr>
        <w:rPr>
          <w:rFonts w:cs="Tahoma"/>
        </w:rPr>
      </w:pPr>
    </w:p>
    <w:p w:rsidR="00205612" w:rsidRPr="008F15BB" w:rsidRDefault="00803610" w:rsidP="00205612">
      <w:pPr>
        <w:ind w:firstLine="720"/>
        <w:rPr>
          <w:rFonts w:cs="Tahoma"/>
        </w:rPr>
      </w:pPr>
      <w:r>
        <w:rPr>
          <w:rFonts w:cs="Tahoma"/>
          <w:noProof/>
        </w:rPr>
        <w:pict>
          <v:shape id="Text Box 6" o:spid="_x0000_s1217" type="#_x0000_t202" style="position:absolute;left:0;text-align:left;margin-left:-230.35pt;margin-top:16.65pt;width:221.6pt;height:285.3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bHJ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" stroked="f">
            <v:textbox>
              <w:txbxContent>
                <w:p w:rsidR="00280598" w:rsidRDefault="00280598" w:rsidP="00205612">
                  <w:pPr>
                    <w:pStyle w:val="Caption"/>
                  </w:pPr>
                  <w:r>
                    <w:t>Chart</w:t>
                  </w:r>
                  <w:r w:rsidRPr="00E8302F">
                    <w:t xml:space="preserve"> </w:t>
                  </w:r>
                  <w:fldSimple w:instr=" SEQ Графикон_бр. \* ARABIC ">
                    <w:r>
                      <w:rPr>
                        <w:noProof/>
                      </w:rPr>
                      <w:t>68</w:t>
                    </w:r>
                  </w:fldSimple>
                </w:p>
                <w:p w:rsidR="00280598" w:rsidRPr="008F15BB" w:rsidRDefault="00280598" w:rsidP="00205612">
                  <w:pPr>
                    <w:pStyle w:val="Caption"/>
                    <w:rPr>
                      <w:b w:val="0"/>
                      <w:szCs w:val="20"/>
                    </w:rPr>
                  </w:pPr>
                  <w:r w:rsidRPr="008F15BB">
                    <w:rPr>
                      <w:szCs w:val="20"/>
                    </w:rPr>
                    <w:t>Bank branches*</w:t>
                  </w:r>
                  <w:r w:rsidRPr="008F15BB">
                    <w:rPr>
                      <w:szCs w:val="20"/>
                      <w:lang w:val="mk-MK"/>
                    </w:rPr>
                    <w:t xml:space="preserve"> </w:t>
                  </w:r>
                  <w:r w:rsidRPr="008F15BB">
                    <w:rPr>
                      <w:szCs w:val="20"/>
                    </w:rPr>
                    <w:t xml:space="preserve">by region in the Republic of Macedonia </w:t>
                  </w:r>
                </w:p>
                <w:p w:rsidR="00280598" w:rsidRPr="00DC0F90" w:rsidRDefault="00280598" w:rsidP="00205612">
                  <w:pPr>
                    <w:pStyle w:val="Caption"/>
                    <w:rPr>
                      <w:b w:val="0"/>
                      <w:lang w:val="mk-MK"/>
                    </w:rPr>
                  </w:pPr>
                  <w:r w:rsidRPr="004774AE">
                    <w:rPr>
                      <w:noProof/>
                    </w:rPr>
                    <w:drawing>
                      <wp:inline distT="0" distB="0" distL="0" distR="0">
                        <wp:extent cx="2577501" cy="2475781"/>
                        <wp:effectExtent l="1905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srcRect/>
                                <a:stretch>
                                  <a:fillRect/>
                                </a:stretch>
                              </pic:blipFill>
                              <pic:spPr bwMode="auto">
                                <a:xfrm>
                                  <a:off x="0" y="0"/>
                                  <a:ext cx="2579639" cy="2477835"/>
                                </a:xfrm>
                                <a:prstGeom prst="rect">
                                  <a:avLst/>
                                </a:prstGeom>
                                <a:noFill/>
                                <a:ln w="9525">
                                  <a:noFill/>
                                  <a:miter lim="800000"/>
                                  <a:headEnd/>
                                  <a:tailEnd/>
                                </a:ln>
                              </pic:spPr>
                            </pic:pic>
                          </a:graphicData>
                        </a:graphic>
                      </wp:inline>
                    </w:drawing>
                  </w:r>
                </w:p>
                <w:p w:rsidR="00280598" w:rsidRPr="00205612" w:rsidRDefault="00280598" w:rsidP="00205612">
                  <w:pPr>
                    <w:pStyle w:val="Caption"/>
                    <w:rPr>
                      <w:b w:val="0"/>
                      <w:sz w:val="18"/>
                      <w:szCs w:val="18"/>
                      <w:lang w:val="mk-MK"/>
                    </w:rPr>
                  </w:pPr>
                  <w:r w:rsidRPr="00205612">
                    <w:rPr>
                      <w:b w:val="0"/>
                      <w:sz w:val="18"/>
                      <w:szCs w:val="18"/>
                      <w:lang w:val="mk-MK"/>
                    </w:rPr>
                    <w:t>*</w:t>
                  </w:r>
                  <w:r w:rsidRPr="00205612">
                    <w:rPr>
                      <w:b w:val="0"/>
                      <w:sz w:val="18"/>
                      <w:szCs w:val="18"/>
                    </w:rPr>
                    <w:t xml:space="preserve"> The calculation does not include banks' windows</w:t>
                  </w:r>
                  <w:r w:rsidRPr="00205612">
                    <w:rPr>
                      <w:b w:val="0"/>
                      <w:sz w:val="18"/>
                      <w:szCs w:val="18"/>
                      <w:lang w:val="mk-MK"/>
                    </w:rPr>
                    <w:t>.</w:t>
                  </w:r>
                </w:p>
                <w:p w:rsidR="00280598" w:rsidRPr="00205612" w:rsidRDefault="00280598" w:rsidP="00205612">
                  <w:pPr>
                    <w:pStyle w:val="Caption"/>
                    <w:rPr>
                      <w:b w:val="0"/>
                      <w:sz w:val="18"/>
                      <w:szCs w:val="18"/>
                    </w:rPr>
                  </w:pPr>
                  <w:r w:rsidRPr="00205612">
                    <w:rPr>
                      <w:b w:val="0"/>
                      <w:sz w:val="18"/>
                      <w:szCs w:val="18"/>
                    </w:rPr>
                    <w:t>Source</w:t>
                  </w:r>
                  <w:r w:rsidRPr="00205612">
                    <w:rPr>
                      <w:b w:val="0"/>
                      <w:sz w:val="18"/>
                      <w:szCs w:val="18"/>
                      <w:lang w:val="mk-MK"/>
                    </w:rPr>
                    <w:t>:</w:t>
                  </w:r>
                  <w:r w:rsidRPr="00205612">
                    <w:rPr>
                      <w:rFonts w:cs="Tahoma"/>
                      <w:b w:val="0"/>
                      <w:sz w:val="18"/>
                      <w:szCs w:val="18"/>
                      <w:lang w:val="mk-MK"/>
                    </w:rPr>
                    <w:t xml:space="preserve"> </w:t>
                  </w:r>
                  <w:r w:rsidRPr="00205612">
                    <w:rPr>
                      <w:rFonts w:cs="Tahoma"/>
                      <w:b w:val="0"/>
                      <w:sz w:val="18"/>
                      <w:szCs w:val="18"/>
                    </w:rPr>
                    <w:t>NBRM</w:t>
                  </w:r>
                  <w:r w:rsidRPr="00205612">
                    <w:rPr>
                      <w:rFonts w:cs="Tahoma"/>
                      <w:b w:val="0"/>
                      <w:sz w:val="18"/>
                      <w:szCs w:val="18"/>
                      <w:lang w:val="mk-MK"/>
                    </w:rPr>
                    <w:t xml:space="preserve">, </w:t>
                  </w:r>
                  <w:r w:rsidRPr="00205612">
                    <w:rPr>
                      <w:rFonts w:cs="Tahoma"/>
                      <w:b w:val="0"/>
                      <w:sz w:val="18"/>
                      <w:szCs w:val="18"/>
                    </w:rPr>
                    <w:t>based on data submitted by banks, State Statistical Office of the Republic of Macedonia according to official data of the 2002 census</w:t>
                  </w:r>
                  <w:r w:rsidRPr="00205612">
                    <w:rPr>
                      <w:rFonts w:cs="Tahoma"/>
                      <w:b w:val="0"/>
                      <w:sz w:val="18"/>
                      <w:szCs w:val="18"/>
                      <w:lang w:val="mk-MK"/>
                    </w:rPr>
                    <w:t>.</w:t>
                  </w:r>
                </w:p>
                <w:p w:rsidR="00280598" w:rsidRDefault="00280598" w:rsidP="00205612"/>
                <w:p w:rsidR="00280598" w:rsidRPr="00EE26CC" w:rsidRDefault="00280598" w:rsidP="00205612"/>
                <w:p w:rsidR="00280598" w:rsidRDefault="00280598" w:rsidP="00205612">
                  <w:pPr>
                    <w:pStyle w:val="Caption"/>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Pr="008476D5" w:rsidRDefault="00280598" w:rsidP="00205612">
                  <w:pPr>
                    <w:rPr>
                      <w:sz w:val="20"/>
                      <w:szCs w:val="20"/>
                      <w:lang w:val="mk-MK"/>
                    </w:rPr>
                  </w:pPr>
                  <w:r w:rsidRPr="008476D5">
                    <w:rPr>
                      <w:sz w:val="20"/>
                      <w:szCs w:val="20"/>
                      <w:lang w:val="mk-MK"/>
                    </w:rPr>
                    <w:t>Извор:</w:t>
                  </w:r>
                </w:p>
              </w:txbxContent>
            </v:textbox>
            <w10:wrap type="square"/>
          </v:shape>
        </w:pict>
      </w:r>
      <w:r w:rsidR="00205612" w:rsidRPr="008F15BB">
        <w:rPr>
          <w:rFonts w:cs="Tahoma"/>
        </w:rPr>
        <w:t>The banking network is comprised of 426 business units</w:t>
      </w:r>
      <w:r w:rsidR="00205612" w:rsidRPr="008F15BB">
        <w:rPr>
          <w:rStyle w:val="FootnoteReference"/>
          <w:rFonts w:cs="Tahoma"/>
        </w:rPr>
        <w:footnoteReference w:id="54"/>
      </w:r>
      <w:r w:rsidR="00205612" w:rsidRPr="008F15BB">
        <w:rPr>
          <w:rFonts w:cs="Tahoma"/>
        </w:rPr>
        <w:t xml:space="preserve"> that are spread across almost all cities in the Republic of Macedonia. The total number of business units increased by three (nine new business units were opened and six business units were closed). Five of the new business units are located in the Skopje region, while the remaining four are located in the region of Pelagonija. On the other hand, two business units were closed in each of the southeast and northeast parts of the country and in the Polog region. In the region of Skopje, where most business units are located, again there was a decline in the number of residents per business unit, which points to further improvement of the access to banking services</w:t>
      </w:r>
      <w:r w:rsidR="00205612" w:rsidRPr="008F15BB">
        <w:rPr>
          <w:rStyle w:val="FootnoteReference"/>
          <w:rFonts w:cs="Tahoma"/>
        </w:rPr>
        <w:footnoteReference w:id="55"/>
      </w:r>
      <w:r w:rsidR="00205612" w:rsidRPr="008F15BB">
        <w:rPr>
          <w:rFonts w:cs="Tahoma"/>
        </w:rPr>
        <w:t xml:space="preserve"> in the region. The four newly opened business units in the region of Pelagonija had much more significant contribution to the reduction in the number of residents per business unit</w:t>
      </w:r>
      <w:r w:rsidR="00205612" w:rsidRPr="008F15BB">
        <w:rPr>
          <w:rStyle w:val="FootnoteReference"/>
          <w:rFonts w:cs="Tahoma"/>
        </w:rPr>
        <w:footnoteReference w:id="56"/>
      </w:r>
      <w:r w:rsidR="00205612" w:rsidRPr="008F15BB">
        <w:rPr>
          <w:rFonts w:cs="Tahoma"/>
        </w:rPr>
        <w:t xml:space="preserve">, and thus to the improved access to banking services in this region. The closure of two business units in each of the southeastern and northeastern regions had </w:t>
      </w:r>
      <w:r w:rsidR="00205612" w:rsidRPr="008F15BB">
        <w:rPr>
          <w:rFonts w:cs="Tahoma"/>
        </w:rPr>
        <w:lastRenderedPageBreak/>
        <w:t>a significant contribution to the reduction of the access to banking services to the population of this region</w:t>
      </w:r>
      <w:r w:rsidR="00205612" w:rsidRPr="008F15BB">
        <w:rPr>
          <w:rStyle w:val="FootnoteReference"/>
          <w:rFonts w:cs="Tahoma"/>
        </w:rPr>
        <w:footnoteReference w:id="57"/>
      </w:r>
      <w:r w:rsidR="00205612" w:rsidRPr="008F15BB">
        <w:rPr>
          <w:rFonts w:cs="Tahoma"/>
        </w:rPr>
        <w:t>.</w:t>
      </w:r>
    </w:p>
    <w:p w:rsidR="00205612" w:rsidRPr="008F15BB" w:rsidRDefault="00803610" w:rsidP="00205612">
      <w:pPr>
        <w:ind w:firstLine="720"/>
        <w:rPr>
          <w:rFonts w:cs="Tahoma"/>
        </w:rPr>
      </w:pPr>
      <w:r>
        <w:rPr>
          <w:rFonts w:cs="Tahoma"/>
          <w:noProof/>
        </w:rPr>
        <w:pict>
          <v:shape id="Text Box 17" o:spid="_x0000_s1218" type="#_x0000_t202" style="position:absolute;left:0;text-align:left;margin-left:-222.45pt;margin-top:-7.35pt;width:203.05pt;height:492pt;z-index:2517381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">
            <v:textbox style="mso-next-textbox:#Text Box 17">
              <w:txbxContent>
                <w:p w:rsidR="00280598" w:rsidRPr="003567B3" w:rsidRDefault="00280598" w:rsidP="00205612">
                  <w:pPr>
                    <w:pStyle w:val="Caption"/>
                    <w:rPr>
                      <w:rFonts w:cs="Tahoma"/>
                      <w:b w:val="0"/>
                      <w:lang w:val="mk-MK"/>
                    </w:rPr>
                  </w:pPr>
                  <w:r>
                    <w:rPr>
                      <w:rFonts w:cs="Tahoma"/>
                    </w:rPr>
                    <w:t>Table</w:t>
                  </w:r>
                  <w:r w:rsidRPr="003567B3">
                    <w:rPr>
                      <w:rFonts w:cs="Tahoma"/>
                    </w:rPr>
                    <w:t xml:space="preserve"> </w:t>
                  </w:r>
                  <w:r w:rsidR="00803610" w:rsidRPr="003567B3">
                    <w:rPr>
                      <w:rFonts w:cs="Tahoma"/>
                      <w:b w:val="0"/>
                    </w:rPr>
                    <w:fldChar w:fldCharType="begin"/>
                  </w:r>
                  <w:r w:rsidRPr="003567B3">
                    <w:rPr>
                      <w:rFonts w:cs="Tahoma"/>
                    </w:rPr>
                    <w:instrText xml:space="preserve"> SEQ Табела_бр. \* ARABIC </w:instrText>
                  </w:r>
                  <w:r w:rsidR="00803610" w:rsidRPr="003567B3">
                    <w:rPr>
                      <w:rFonts w:cs="Tahoma"/>
                      <w:b w:val="0"/>
                    </w:rPr>
                    <w:fldChar w:fldCharType="separate"/>
                  </w:r>
                  <w:r>
                    <w:rPr>
                      <w:rFonts w:cs="Tahoma"/>
                      <w:noProof/>
                    </w:rPr>
                    <w:t>4</w:t>
                  </w:r>
                  <w:r w:rsidR="00803610" w:rsidRPr="003567B3">
                    <w:rPr>
                      <w:rFonts w:cs="Tahoma"/>
                      <w:b w:val="0"/>
                    </w:rPr>
                    <w:fldChar w:fldCharType="end"/>
                  </w:r>
                </w:p>
                <w:p w:rsidR="00280598" w:rsidRPr="00C723ED" w:rsidRDefault="00280598" w:rsidP="00205612">
                  <w:pPr>
                    <w:pStyle w:val="Caption"/>
                    <w:rPr>
                      <w:b w:val="0"/>
                    </w:rPr>
                  </w:pPr>
                  <w:r w:rsidRPr="008F15BB">
                    <w:rPr>
                      <w:szCs w:val="20"/>
                    </w:rPr>
                    <w:t>Comparative indicators on number of residents per credit institution and per business unit of banks</w:t>
                  </w:r>
                  <w:r w:rsidRPr="00323758">
                    <w:rPr>
                      <w:lang w:val="mk-MK"/>
                    </w:rPr>
                    <w:tab/>
                  </w:r>
                </w:p>
                <w:p w:rsidR="00280598" w:rsidRPr="00C92FDC" w:rsidRDefault="00280598" w:rsidP="00205612">
                  <w:pPr>
                    <w:jc w:val="left"/>
                    <w:rPr>
                      <w:sz w:val="18"/>
                      <w:szCs w:val="18"/>
                    </w:rPr>
                  </w:pPr>
                  <w:r w:rsidRPr="00B2038B">
                    <w:rPr>
                      <w:noProof/>
                      <w:szCs w:val="18"/>
                    </w:rPr>
                    <w:drawing>
                      <wp:inline distT="0" distB="0" distL="0" distR="0">
                        <wp:extent cx="2386330" cy="3450754"/>
                        <wp:effectExtent l="1905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srcRect/>
                                <a:stretch>
                                  <a:fillRect/>
                                </a:stretch>
                              </pic:blipFill>
                              <pic:spPr bwMode="auto">
                                <a:xfrm>
                                  <a:off x="0" y="0"/>
                                  <a:ext cx="2386330" cy="3450754"/>
                                </a:xfrm>
                                <a:prstGeom prst="rect">
                                  <a:avLst/>
                                </a:prstGeom>
                                <a:noFill/>
                                <a:ln w="9525">
                                  <a:noFill/>
                                  <a:miter lim="800000"/>
                                  <a:headEnd/>
                                  <a:tailEnd/>
                                </a:ln>
                              </pic:spPr>
                            </pic:pic>
                          </a:graphicData>
                        </a:graphic>
                      </wp:inline>
                    </w:drawing>
                  </w:r>
                </w:p>
                <w:p w:rsidR="00280598" w:rsidRPr="00904D49" w:rsidRDefault="00280598" w:rsidP="00205612">
                  <w:pPr>
                    <w:rPr>
                      <w:rFonts w:cs="Tahoma"/>
                      <w:sz w:val="18"/>
                      <w:szCs w:val="18"/>
                    </w:rPr>
                  </w:pPr>
                  <w:r>
                    <w:rPr>
                      <w:rFonts w:cs="Tahoma"/>
                      <w:sz w:val="18"/>
                      <w:szCs w:val="18"/>
                    </w:rPr>
                    <w:t>Source</w:t>
                  </w:r>
                  <w:r w:rsidRPr="00904D49">
                    <w:rPr>
                      <w:rFonts w:cs="Tahoma"/>
                      <w:sz w:val="18"/>
                      <w:szCs w:val="18"/>
                    </w:rPr>
                    <w:t xml:space="preserve">: </w:t>
                  </w:r>
                  <w:r>
                    <w:rPr>
                      <w:rFonts w:cs="Tahoma"/>
                      <w:sz w:val="18"/>
                      <w:szCs w:val="18"/>
                    </w:rPr>
                    <w:t>NBRM</w:t>
                  </w:r>
                  <w:r>
                    <w:rPr>
                      <w:rFonts w:cs="Tahoma"/>
                      <w:sz w:val="18"/>
                      <w:szCs w:val="18"/>
                      <w:lang w:val="mk-MK"/>
                    </w:rPr>
                    <w:t xml:space="preserve">, </w:t>
                  </w:r>
                  <w:r>
                    <w:rPr>
                      <w:rFonts w:cs="Tahoma"/>
                      <w:sz w:val="18"/>
                      <w:szCs w:val="18"/>
                    </w:rPr>
                    <w:t>State Statistical Office of the Republic of Macedonia</w:t>
                  </w:r>
                  <w:r>
                    <w:rPr>
                      <w:rFonts w:cs="Tahoma"/>
                      <w:sz w:val="18"/>
                      <w:szCs w:val="18"/>
                      <w:lang w:val="mk-MK"/>
                    </w:rPr>
                    <w:t xml:space="preserve">, </w:t>
                  </w:r>
                  <w:r>
                    <w:rPr>
                      <w:rFonts w:cs="Tahoma"/>
                      <w:sz w:val="18"/>
                      <w:szCs w:val="18"/>
                    </w:rPr>
                    <w:t>www.dbresearch.com</w:t>
                  </w:r>
                  <w:r>
                    <w:rPr>
                      <w:rFonts w:cs="Tahoma"/>
                      <w:sz w:val="18"/>
                      <w:szCs w:val="18"/>
                      <w:lang w:val="mk-MK"/>
                    </w:rPr>
                    <w:t xml:space="preserve">, </w:t>
                  </w:r>
                  <w:r>
                    <w:rPr>
                      <w:rFonts w:cs="Tahoma"/>
                      <w:sz w:val="18"/>
                      <w:szCs w:val="18"/>
                    </w:rPr>
                    <w:t xml:space="preserve">websites of European Union, Bank of Albania, </w:t>
                  </w:r>
                  <w:r w:rsidRPr="00904D49">
                    <w:rPr>
                      <w:rFonts w:cs="Tahoma"/>
                      <w:sz w:val="18"/>
                      <w:szCs w:val="18"/>
                    </w:rPr>
                    <w:t xml:space="preserve">(Supervision Annual Report 2012), </w:t>
                  </w:r>
                  <w:r>
                    <w:rPr>
                      <w:rFonts w:cs="Tahoma"/>
                      <w:sz w:val="18"/>
                      <w:szCs w:val="18"/>
                    </w:rPr>
                    <w:t>Croatian national Bank,</w:t>
                  </w:r>
                  <w:r w:rsidRPr="00904D49">
                    <w:rPr>
                      <w:rFonts w:cs="Tahoma"/>
                      <w:sz w:val="18"/>
                      <w:szCs w:val="18"/>
                    </w:rPr>
                    <w:t xml:space="preserve"> (</w:t>
                  </w:r>
                  <w:r>
                    <w:rPr>
                      <w:rFonts w:cs="Tahoma"/>
                      <w:sz w:val="18"/>
                      <w:szCs w:val="18"/>
                    </w:rPr>
                    <w:t>Banks Bulletin</w:t>
                  </w:r>
                  <w:r w:rsidRPr="00904D49">
                    <w:rPr>
                      <w:rFonts w:cs="Tahoma"/>
                      <w:sz w:val="18"/>
                      <w:szCs w:val="18"/>
                    </w:rPr>
                    <w:t>), BSCEE Review 2012,</w:t>
                  </w:r>
                  <w:r>
                    <w:rPr>
                      <w:rFonts w:cs="Tahoma"/>
                      <w:sz w:val="18"/>
                      <w:szCs w:val="18"/>
                    </w:rPr>
                    <w:t xml:space="preserve"> National Bank of Serbia (Banking sector in Serbia-Third Quarter Report</w:t>
                  </w:r>
                  <w:r w:rsidRPr="00904D49">
                    <w:rPr>
                      <w:rFonts w:cs="Tahoma"/>
                      <w:sz w:val="18"/>
                      <w:szCs w:val="18"/>
                    </w:rPr>
                    <w:t>).</w:t>
                  </w:r>
                </w:p>
                <w:p w:rsidR="00280598" w:rsidRPr="00904D49" w:rsidRDefault="00280598" w:rsidP="00205612">
                  <w:pPr>
                    <w:rPr>
                      <w:rFonts w:cs="Tahoma"/>
                      <w:sz w:val="18"/>
                      <w:szCs w:val="18"/>
                    </w:rPr>
                  </w:pPr>
                  <w:r>
                    <w:rPr>
                      <w:rFonts w:cs="Tahoma"/>
                      <w:sz w:val="18"/>
                      <w:szCs w:val="18"/>
                    </w:rPr>
                    <w:t>Note: Data for Macedonia refer to 31.12.2013, for Serbia 30.09.2013</w:t>
                  </w:r>
                  <w:r w:rsidRPr="00904D49">
                    <w:rPr>
                      <w:rFonts w:cs="Tahoma"/>
                      <w:sz w:val="18"/>
                      <w:szCs w:val="18"/>
                    </w:rPr>
                    <w:t xml:space="preserve">, </w:t>
                  </w:r>
                  <w:r>
                    <w:rPr>
                      <w:rFonts w:cs="Tahoma"/>
                      <w:sz w:val="18"/>
                      <w:szCs w:val="18"/>
                    </w:rPr>
                    <w:t>while data for</w:t>
                  </w:r>
                  <w:r w:rsidRPr="00323758">
                    <w:rPr>
                      <w:sz w:val="18"/>
                      <w:szCs w:val="18"/>
                    </w:rPr>
                    <w:t xml:space="preserve"> all other an</w:t>
                  </w:r>
                  <w:r>
                    <w:rPr>
                      <w:sz w:val="18"/>
                      <w:szCs w:val="18"/>
                    </w:rPr>
                    <w:t>alyzed countries they are as of</w:t>
                  </w:r>
                  <w:r>
                    <w:rPr>
                      <w:rFonts w:cs="Tahoma"/>
                      <w:sz w:val="18"/>
                      <w:szCs w:val="18"/>
                    </w:rPr>
                    <w:t xml:space="preserve"> 2012</w:t>
                  </w:r>
                  <w:r w:rsidRPr="00904D49">
                    <w:rPr>
                      <w:rFonts w:cs="Tahoma"/>
                      <w:sz w:val="18"/>
                      <w:szCs w:val="18"/>
                    </w:rPr>
                    <w:t xml:space="preserve">.   </w:t>
                  </w:r>
                </w:p>
                <w:p w:rsidR="00280598" w:rsidRPr="00F96D08" w:rsidRDefault="00280598" w:rsidP="00205612">
                  <w:pPr>
                    <w:rPr>
                      <w:rFonts w:cs="Tahoma"/>
                      <w:sz w:val="18"/>
                      <w:szCs w:val="18"/>
                    </w:rPr>
                  </w:pPr>
                  <w:r w:rsidRPr="00323758">
                    <w:rPr>
                      <w:sz w:val="18"/>
                      <w:szCs w:val="18"/>
                    </w:rPr>
                    <w:t xml:space="preserve">Data on the number of residents in the Republic of Macedonia result from the monitoring and analysis of demographic changes carried out by the State Statistical Office of the Republic of Macedonia for </w:t>
                  </w:r>
                  <w:r>
                    <w:rPr>
                      <w:rFonts w:cs="Tahoma"/>
                      <w:sz w:val="18"/>
                      <w:szCs w:val="18"/>
                    </w:rPr>
                    <w:t>2012.</w:t>
                  </w: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txbxContent>
            </v:textbox>
            <w10:wrap type="square" anchorx="margin" anchory="margin"/>
          </v:shape>
        </w:pict>
      </w:r>
    </w:p>
    <w:p w:rsidR="00205612" w:rsidRPr="008F15BB" w:rsidRDefault="00205612" w:rsidP="00205612">
      <w:pPr>
        <w:ind w:firstLine="720"/>
        <w:rPr>
          <w:rFonts w:cs="Tahoma"/>
        </w:rPr>
      </w:pPr>
      <w:r w:rsidRPr="008F15BB">
        <w:rPr>
          <w:rFonts w:cs="Tahoma"/>
        </w:rPr>
        <w:t>Banks in the Republic of Macedonia serve more residents per business unit in comparison with the countries that are included in the comparative analysis. According to the indicator of the number of residents served per bank, Macedonia is still in the middle of the list. However, the access to banking services in the country has improved compared to 2012. The comparative analysis of these indicators relative to the countries of the region</w:t>
      </w:r>
      <w:r w:rsidRPr="008F15BB">
        <w:rPr>
          <w:rStyle w:val="FootnoteReference"/>
          <w:rFonts w:cs="Tahoma"/>
        </w:rPr>
        <w:footnoteReference w:id="58"/>
      </w:r>
      <w:r w:rsidRPr="008F15BB">
        <w:rPr>
          <w:rFonts w:cs="Tahoma"/>
        </w:rPr>
        <w:t xml:space="preserve"> indicates that Macedonia is in the best position according to the number of residents per bank, while according to the number of residents per business unit, Macedonia is ranked worse than them, with the exception of Albania.</w:t>
      </w: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Default="00205612" w:rsidP="00205612">
      <w:pPr>
        <w:ind w:firstLine="720"/>
        <w:rPr>
          <w:rFonts w:cs="Tahoma"/>
        </w:rPr>
      </w:pPr>
    </w:p>
    <w:p w:rsidR="00205612" w:rsidRDefault="00205612" w:rsidP="00205612">
      <w:pPr>
        <w:ind w:firstLine="720"/>
        <w:rPr>
          <w:rFonts w:cs="Tahoma"/>
        </w:rPr>
      </w:pPr>
    </w:p>
    <w:p w:rsidR="00205612" w:rsidRDefault="00205612" w:rsidP="00205612">
      <w:pPr>
        <w:ind w:firstLine="720"/>
        <w:rPr>
          <w:rFonts w:cs="Tahoma"/>
        </w:rPr>
      </w:pPr>
    </w:p>
    <w:p w:rsidR="00205612" w:rsidRDefault="00205612" w:rsidP="00205612">
      <w:pPr>
        <w:ind w:firstLine="720"/>
        <w:rPr>
          <w:rFonts w:cs="Tahoma"/>
        </w:rPr>
      </w:pPr>
    </w:p>
    <w:p w:rsidR="00205612" w:rsidRDefault="00205612" w:rsidP="00205612">
      <w:pPr>
        <w:ind w:firstLine="720"/>
        <w:rPr>
          <w:rFonts w:cs="Tahoma"/>
        </w:rPr>
      </w:pPr>
    </w:p>
    <w:p w:rsidR="00205612" w:rsidRDefault="00205612" w:rsidP="00205612">
      <w:pPr>
        <w:ind w:firstLine="720"/>
        <w:rPr>
          <w:rFonts w:cs="Tahoma"/>
        </w:rPr>
      </w:pPr>
    </w:p>
    <w:p w:rsidR="00205612" w:rsidRPr="008F15BB" w:rsidRDefault="00205612" w:rsidP="00205612">
      <w:pPr>
        <w:ind w:firstLine="720"/>
        <w:rPr>
          <w:rFonts w:cs="Tahoma"/>
        </w:rPr>
      </w:pPr>
    </w:p>
    <w:p w:rsidR="00205612" w:rsidRDefault="00205612" w:rsidP="00205612">
      <w:pPr>
        <w:ind w:firstLine="720"/>
        <w:rPr>
          <w:rFonts w:cs="Tahoma"/>
        </w:rPr>
      </w:pPr>
    </w:p>
    <w:p w:rsidR="00205612" w:rsidRDefault="00205612" w:rsidP="00875109">
      <w:pPr>
        <w:rPr>
          <w:rFonts w:cs="Tahoma"/>
          <w:b/>
        </w:rPr>
      </w:pPr>
    </w:p>
    <w:p w:rsidR="00875109" w:rsidRDefault="00875109" w:rsidP="00875109">
      <w:pPr>
        <w:rPr>
          <w:rFonts w:cs="Tahoma"/>
          <w:b/>
        </w:rPr>
      </w:pPr>
    </w:p>
    <w:p w:rsidR="00875109" w:rsidRDefault="00875109" w:rsidP="00875109">
      <w:pPr>
        <w:rPr>
          <w:rFonts w:cs="Tahoma"/>
          <w:b/>
        </w:rPr>
      </w:pPr>
    </w:p>
    <w:p w:rsidR="00875109" w:rsidRDefault="00875109" w:rsidP="00875109">
      <w:pPr>
        <w:rPr>
          <w:rFonts w:cs="Tahoma"/>
          <w:b/>
        </w:rPr>
      </w:pPr>
    </w:p>
    <w:p w:rsidR="00875109" w:rsidRDefault="00875109" w:rsidP="00875109">
      <w:pPr>
        <w:rPr>
          <w:rFonts w:cs="Tahoma"/>
          <w:b/>
        </w:rPr>
      </w:pPr>
    </w:p>
    <w:p w:rsidR="00875109" w:rsidRPr="008F15BB" w:rsidRDefault="00875109" w:rsidP="00875109">
      <w:pPr>
        <w:rPr>
          <w:rFonts w:cs="Tahoma"/>
          <w:b/>
        </w:rPr>
      </w:pPr>
    </w:p>
    <w:p w:rsidR="00205612" w:rsidRPr="008F15BB" w:rsidRDefault="00205612" w:rsidP="00C5550A">
      <w:pPr>
        <w:pStyle w:val="Heading2"/>
      </w:pPr>
      <w:bookmarkStart w:id="74" w:name="_Toc393283605"/>
      <w:r w:rsidRPr="008F15BB">
        <w:lastRenderedPageBreak/>
        <w:t>Employment in the banking system</w:t>
      </w:r>
      <w:bookmarkEnd w:id="74"/>
    </w:p>
    <w:p w:rsidR="00205612" w:rsidRPr="008F15BB" w:rsidRDefault="00205612" w:rsidP="00205612">
      <w:pPr>
        <w:ind w:firstLine="720"/>
        <w:rPr>
          <w:rFonts w:cs="Tahoma"/>
        </w:rPr>
      </w:pPr>
    </w:p>
    <w:p w:rsidR="00205612" w:rsidRPr="008F15BB" w:rsidRDefault="00803610" w:rsidP="00205612">
      <w:pPr>
        <w:ind w:firstLine="720"/>
        <w:rPr>
          <w:rFonts w:cs="Tahoma"/>
        </w:rPr>
      </w:pPr>
      <w:r>
        <w:rPr>
          <w:rFonts w:cs="Tahoma"/>
          <w:noProof/>
        </w:rPr>
        <w:pict>
          <v:shape id="Text Box 7" o:spid="_x0000_s1219" type="#_x0000_t202" style="position:absolute;left:0;text-align:left;margin-left:-227.25pt;margin-top:3.6pt;width:221.6pt;height:196.7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" stroked="f">
            <v:textbox style="mso-next-textbox:#Text Box 7">
              <w:txbxContent>
                <w:p w:rsidR="00280598" w:rsidRDefault="00280598" w:rsidP="00205612">
                  <w:pPr>
                    <w:pStyle w:val="Caption"/>
                  </w:pPr>
                  <w:r>
                    <w:t>Chart</w:t>
                  </w:r>
                  <w:r w:rsidRPr="00E8302F">
                    <w:t xml:space="preserve"> </w:t>
                  </w:r>
                  <w:fldSimple w:instr=" SEQ Графикон_бр. \* ARABIC ">
                    <w:r>
                      <w:rPr>
                        <w:noProof/>
                      </w:rPr>
                      <w:t>69</w:t>
                    </w:r>
                  </w:fldSimple>
                </w:p>
                <w:p w:rsidR="00280598" w:rsidRPr="008F15BB" w:rsidRDefault="00280598" w:rsidP="00205612">
                  <w:pPr>
                    <w:rPr>
                      <w:b/>
                      <w:sz w:val="20"/>
                      <w:szCs w:val="20"/>
                    </w:rPr>
                  </w:pPr>
                  <w:r w:rsidRPr="008F15BB">
                    <w:rPr>
                      <w:b/>
                      <w:sz w:val="20"/>
                      <w:szCs w:val="20"/>
                    </w:rPr>
                    <w:t>Employment in the banking system</w:t>
                  </w:r>
                </w:p>
                <w:p w:rsidR="00280598" w:rsidRPr="009A309E" w:rsidRDefault="00280598" w:rsidP="00205612">
                  <w:pPr>
                    <w:rPr>
                      <w:sz w:val="18"/>
                      <w:szCs w:val="18"/>
                    </w:rPr>
                  </w:pPr>
                  <w:r>
                    <w:rPr>
                      <w:sz w:val="18"/>
                      <w:szCs w:val="18"/>
                    </w:rPr>
                    <w:t>number of emplyees</w:t>
                  </w:r>
                </w:p>
                <w:p w:rsidR="00280598" w:rsidRPr="00DC0F90" w:rsidRDefault="00280598" w:rsidP="00205612">
                  <w:pPr>
                    <w:pStyle w:val="Caption"/>
                    <w:rPr>
                      <w:b w:val="0"/>
                      <w:lang w:val="mk-MK"/>
                    </w:rPr>
                  </w:pPr>
                  <w:r w:rsidRPr="009A309E">
                    <w:rPr>
                      <w:noProof/>
                    </w:rPr>
                    <w:drawing>
                      <wp:inline distT="0" distB="0" distL="0" distR="0">
                        <wp:extent cx="2596930" cy="1789043"/>
                        <wp:effectExtent l="19050" t="0" r="0" b="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srcRect/>
                                <a:stretch>
                                  <a:fillRect/>
                                </a:stretch>
                              </pic:blipFill>
                              <pic:spPr bwMode="auto">
                                <a:xfrm>
                                  <a:off x="0" y="0"/>
                                  <a:ext cx="2599602" cy="1790884"/>
                                </a:xfrm>
                                <a:prstGeom prst="rect">
                                  <a:avLst/>
                                </a:prstGeom>
                                <a:noFill/>
                                <a:ln w="9525">
                                  <a:noFill/>
                                  <a:miter lim="800000"/>
                                  <a:headEnd/>
                                  <a:tailEnd/>
                                </a:ln>
                              </pic:spPr>
                            </pic:pic>
                          </a:graphicData>
                        </a:graphic>
                      </wp:inline>
                    </w:drawing>
                  </w:r>
                </w:p>
                <w:p w:rsidR="00280598" w:rsidRDefault="00280598" w:rsidP="00205612">
                  <w:r>
                    <w:rPr>
                      <w:sz w:val="18"/>
                      <w:szCs w:val="18"/>
                    </w:rPr>
                    <w:t>Source</w:t>
                  </w:r>
                  <w:r w:rsidRPr="00A72927">
                    <w:rPr>
                      <w:sz w:val="18"/>
                      <w:szCs w:val="18"/>
                      <w:lang w:val="mk-MK"/>
                    </w:rPr>
                    <w:t>:</w:t>
                  </w:r>
                  <w:r w:rsidRPr="00A72927">
                    <w:rPr>
                      <w:rFonts w:cs="Tahoma"/>
                      <w:sz w:val="18"/>
                      <w:szCs w:val="18"/>
                      <w:lang w:val="mk-MK"/>
                    </w:rPr>
                    <w:t xml:space="preserve"> </w:t>
                  </w:r>
                  <w:r>
                    <w:rPr>
                      <w:rFonts w:cs="Tahoma"/>
                      <w:sz w:val="18"/>
                      <w:szCs w:val="18"/>
                    </w:rPr>
                    <w:t>NBRM</w:t>
                  </w:r>
                  <w:r w:rsidRPr="00A72927">
                    <w:rPr>
                      <w:rFonts w:cs="Tahoma"/>
                      <w:sz w:val="18"/>
                      <w:szCs w:val="18"/>
                      <w:lang w:val="mk-MK"/>
                    </w:rPr>
                    <w:t xml:space="preserve">, </w:t>
                  </w:r>
                  <w:r>
                    <w:rPr>
                      <w:rFonts w:cs="Tahoma"/>
                      <w:sz w:val="18"/>
                      <w:szCs w:val="18"/>
                    </w:rPr>
                    <w:t>based on data submitted by banks.</w:t>
                  </w:r>
                </w:p>
                <w:p w:rsidR="00280598" w:rsidRPr="00EE26CC" w:rsidRDefault="00280598" w:rsidP="00205612"/>
                <w:p w:rsidR="00280598" w:rsidRDefault="00280598" w:rsidP="00205612">
                  <w:pPr>
                    <w:pStyle w:val="Caption"/>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Pr="008476D5" w:rsidRDefault="00280598" w:rsidP="00205612">
                  <w:pPr>
                    <w:rPr>
                      <w:sz w:val="20"/>
                      <w:szCs w:val="20"/>
                      <w:lang w:val="mk-MK"/>
                    </w:rPr>
                  </w:pPr>
                  <w:r w:rsidRPr="008476D5">
                    <w:rPr>
                      <w:sz w:val="20"/>
                      <w:szCs w:val="20"/>
                      <w:lang w:val="mk-MK"/>
                    </w:rPr>
                    <w:t>Извор:</w:t>
                  </w:r>
                </w:p>
              </w:txbxContent>
            </v:textbox>
            <w10:wrap type="square"/>
          </v:shape>
        </w:pict>
      </w:r>
      <w:r w:rsidR="00205612" w:rsidRPr="008F15BB">
        <w:rPr>
          <w:rFonts w:cs="Tahoma"/>
        </w:rPr>
        <w:t>In 2013, the number of employees in the banking system continued to increase. The largest increase was registered in one large bank (by 28 persons) and in one medium-size bank (by 20 persons), while in other two medium-size banks the growth is smaller (15 and 11 persons). Contrary to the increase in these banks, in one medium-size and in one large bank a decrease in the number of employees was registered, by 44 and 29 persons respectively</w:t>
      </w:r>
      <w:r w:rsidR="00205612" w:rsidRPr="008F15BB">
        <w:rPr>
          <w:rStyle w:val="FootnoteReference"/>
          <w:rFonts w:cs="Tahoma"/>
        </w:rPr>
        <w:footnoteReference w:id="59"/>
      </w:r>
      <w:r w:rsidR="00205612" w:rsidRPr="008F15BB">
        <w:rPr>
          <w:rFonts w:cs="Tahoma"/>
        </w:rPr>
        <w:t>.</w:t>
      </w:r>
    </w:p>
    <w:p w:rsidR="00205612" w:rsidRPr="008F15BB" w:rsidRDefault="00205612" w:rsidP="00205612">
      <w:pPr>
        <w:ind w:firstLine="720"/>
        <w:rPr>
          <w:rFonts w:cs="Tahoma"/>
        </w:rPr>
      </w:pPr>
    </w:p>
    <w:p w:rsidR="00205612" w:rsidRDefault="00205612" w:rsidP="00205612">
      <w:pPr>
        <w:ind w:firstLine="720"/>
        <w:rPr>
          <w:rFonts w:cs="Tahoma"/>
        </w:rPr>
      </w:pPr>
    </w:p>
    <w:p w:rsidR="00205612" w:rsidRDefault="00205612" w:rsidP="00205612">
      <w:pPr>
        <w:ind w:firstLine="720"/>
        <w:rPr>
          <w:rFonts w:cs="Tahoma"/>
        </w:rPr>
      </w:pPr>
    </w:p>
    <w:p w:rsidR="00205612" w:rsidRDefault="00205612" w:rsidP="00205612">
      <w:pPr>
        <w:ind w:firstLine="720"/>
        <w:rPr>
          <w:rFonts w:cs="Tahoma"/>
        </w:rPr>
      </w:pPr>
    </w:p>
    <w:p w:rsidR="00205612" w:rsidRDefault="00205612" w:rsidP="00875109">
      <w:pPr>
        <w:rPr>
          <w:rFonts w:cs="Tahoma"/>
        </w:rPr>
      </w:pPr>
    </w:p>
    <w:p w:rsidR="00875109" w:rsidRDefault="00875109" w:rsidP="00875109">
      <w:pPr>
        <w:rPr>
          <w:rFonts w:cs="Tahoma"/>
        </w:rPr>
      </w:pPr>
    </w:p>
    <w:p w:rsidR="00205612" w:rsidRPr="008F15BB" w:rsidRDefault="00803610" w:rsidP="00205612">
      <w:pPr>
        <w:ind w:firstLine="720"/>
        <w:rPr>
          <w:rFonts w:cs="Tahoma"/>
        </w:rPr>
      </w:pPr>
      <w:r>
        <w:rPr>
          <w:rFonts w:cs="Tahoma"/>
          <w:noProof/>
        </w:rPr>
        <w:pict>
          <v:shape id="Text Box 9" o:spid="_x0000_s1220" type="#_x0000_t202" style="position:absolute;left:0;text-align:left;margin-left:-227.25pt;margin-top:.5pt;width:221.6pt;height:225.7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vk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" stroked="f">
            <v:textbox style="mso-next-textbox:#Text Box 9">
              <w:txbxContent>
                <w:p w:rsidR="00280598" w:rsidRDefault="00280598" w:rsidP="00205612">
                  <w:pPr>
                    <w:pStyle w:val="Caption"/>
                  </w:pPr>
                  <w:r>
                    <w:t>Chart</w:t>
                  </w:r>
                  <w:r w:rsidRPr="00E8302F">
                    <w:t xml:space="preserve"> </w:t>
                  </w:r>
                  <w:fldSimple w:instr=" SEQ Графикон_бр. \* ARABIC ">
                    <w:r>
                      <w:rPr>
                        <w:noProof/>
                      </w:rPr>
                      <w:t>70</w:t>
                    </w:r>
                  </w:fldSimple>
                </w:p>
                <w:p w:rsidR="00280598" w:rsidRPr="008F15BB" w:rsidRDefault="00280598" w:rsidP="00205612">
                  <w:pPr>
                    <w:pStyle w:val="Caption"/>
                    <w:rPr>
                      <w:b w:val="0"/>
                      <w:szCs w:val="20"/>
                      <w:lang w:val="mk-MK"/>
                    </w:rPr>
                  </w:pPr>
                  <w:r w:rsidRPr="008F15BB">
                    <w:rPr>
                      <w:szCs w:val="20"/>
                    </w:rPr>
                    <w:t>Assets per emplyee</w:t>
                  </w:r>
                  <w:r w:rsidRPr="008F15BB">
                    <w:rPr>
                      <w:szCs w:val="20"/>
                      <w:lang w:val="mk-MK"/>
                    </w:rPr>
                    <w:t>*</w:t>
                  </w:r>
                </w:p>
                <w:p w:rsidR="00280598" w:rsidRPr="00D21EB8" w:rsidRDefault="00280598" w:rsidP="00205612">
                  <w:pPr>
                    <w:rPr>
                      <w:sz w:val="18"/>
                      <w:szCs w:val="18"/>
                    </w:rPr>
                  </w:pPr>
                  <w:r>
                    <w:rPr>
                      <w:sz w:val="18"/>
                      <w:szCs w:val="18"/>
                    </w:rPr>
                    <w:t>in thousand of Denars</w:t>
                  </w:r>
                </w:p>
                <w:p w:rsidR="00280598" w:rsidRPr="00DC0F90" w:rsidRDefault="00280598" w:rsidP="00205612">
                  <w:pPr>
                    <w:pStyle w:val="Caption"/>
                    <w:rPr>
                      <w:b w:val="0"/>
                      <w:lang w:val="mk-MK"/>
                    </w:rPr>
                  </w:pPr>
                  <w:r>
                    <w:rPr>
                      <w:noProof/>
                    </w:rPr>
                    <w:drawing>
                      <wp:inline distT="0" distB="0" distL="0" distR="0">
                        <wp:extent cx="2599791" cy="1741017"/>
                        <wp:effectExtent l="19050" t="0" r="0" b="0"/>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srcRect/>
                                <a:stretch>
                                  <a:fillRect/>
                                </a:stretch>
                              </pic:blipFill>
                              <pic:spPr bwMode="auto">
                                <a:xfrm>
                                  <a:off x="0" y="0"/>
                                  <a:ext cx="2600019" cy="1741170"/>
                                </a:xfrm>
                                <a:prstGeom prst="rect">
                                  <a:avLst/>
                                </a:prstGeom>
                                <a:noFill/>
                                <a:ln w="9525">
                                  <a:noFill/>
                                  <a:miter lim="800000"/>
                                  <a:headEnd/>
                                  <a:tailEnd/>
                                </a:ln>
                              </pic:spPr>
                            </pic:pic>
                          </a:graphicData>
                        </a:graphic>
                      </wp:inline>
                    </w:drawing>
                  </w:r>
                </w:p>
                <w:p w:rsidR="00280598" w:rsidRPr="00875109" w:rsidRDefault="00280598" w:rsidP="00875109">
                  <w:pPr>
                    <w:pStyle w:val="Caption"/>
                    <w:rPr>
                      <w:b w:val="0"/>
                      <w:sz w:val="18"/>
                      <w:szCs w:val="18"/>
                      <w:lang w:val="mk-MK"/>
                    </w:rPr>
                  </w:pPr>
                  <w:r w:rsidRPr="00875109">
                    <w:rPr>
                      <w:b w:val="0"/>
                      <w:sz w:val="18"/>
                      <w:szCs w:val="18"/>
                    </w:rPr>
                    <w:t>Source</w:t>
                  </w:r>
                  <w:r w:rsidRPr="00875109">
                    <w:rPr>
                      <w:b w:val="0"/>
                      <w:sz w:val="18"/>
                      <w:szCs w:val="18"/>
                      <w:lang w:val="mk-MK"/>
                    </w:rPr>
                    <w:t>:</w:t>
                  </w:r>
                  <w:r w:rsidRPr="00875109">
                    <w:rPr>
                      <w:rFonts w:cs="Tahoma"/>
                      <w:b w:val="0"/>
                      <w:sz w:val="18"/>
                      <w:szCs w:val="18"/>
                      <w:lang w:val="mk-MK"/>
                    </w:rPr>
                    <w:t xml:space="preserve"> </w:t>
                  </w:r>
                  <w:r w:rsidRPr="00875109">
                    <w:rPr>
                      <w:rFonts w:cs="Tahoma"/>
                      <w:b w:val="0"/>
                      <w:sz w:val="18"/>
                      <w:szCs w:val="18"/>
                    </w:rPr>
                    <w:t>NBRM</w:t>
                  </w:r>
                  <w:r w:rsidRPr="00875109">
                    <w:rPr>
                      <w:rFonts w:cs="Tahoma"/>
                      <w:b w:val="0"/>
                      <w:sz w:val="18"/>
                      <w:szCs w:val="18"/>
                      <w:lang w:val="mk-MK"/>
                    </w:rPr>
                    <w:t xml:space="preserve">, </w:t>
                  </w:r>
                  <w:r w:rsidRPr="00875109">
                    <w:rPr>
                      <w:rFonts w:cs="Tahoma"/>
                      <w:b w:val="0"/>
                      <w:sz w:val="18"/>
                      <w:szCs w:val="18"/>
                    </w:rPr>
                    <w:t>based on data submitted by banks.</w:t>
                  </w:r>
                  <w:r w:rsidRPr="00875109">
                    <w:rPr>
                      <w:b w:val="0"/>
                      <w:sz w:val="18"/>
                      <w:szCs w:val="18"/>
                    </w:rPr>
                    <w:t xml:space="preserve"> *MBDP</w:t>
                  </w:r>
                  <w:r w:rsidRPr="00875109">
                    <w:rPr>
                      <w:b w:val="0"/>
                      <w:sz w:val="18"/>
                      <w:szCs w:val="18"/>
                      <w:lang w:val="mk-MK"/>
                    </w:rPr>
                    <w:t xml:space="preserve"> </w:t>
                  </w:r>
                  <w:r w:rsidRPr="00875109">
                    <w:rPr>
                      <w:b w:val="0"/>
                      <w:sz w:val="18"/>
                      <w:szCs w:val="18"/>
                    </w:rPr>
                    <w:t xml:space="preserve">is not included in the analyses due to the specific character of the activities carried by this bank. </w:t>
                  </w:r>
                </w:p>
                <w:p w:rsidR="00280598" w:rsidRDefault="00280598" w:rsidP="00205612">
                  <w:pPr>
                    <w:pStyle w:val="Caption"/>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Pr="008476D5" w:rsidRDefault="00280598" w:rsidP="00205612">
                  <w:pPr>
                    <w:rPr>
                      <w:sz w:val="20"/>
                      <w:szCs w:val="20"/>
                      <w:lang w:val="mk-MK"/>
                    </w:rPr>
                  </w:pPr>
                  <w:r w:rsidRPr="008476D5">
                    <w:rPr>
                      <w:sz w:val="20"/>
                      <w:szCs w:val="20"/>
                      <w:lang w:val="mk-MK"/>
                    </w:rPr>
                    <w:t>Извор:</w:t>
                  </w:r>
                </w:p>
              </w:txbxContent>
            </v:textbox>
            <w10:wrap type="square"/>
          </v:shape>
        </w:pict>
      </w:r>
    </w:p>
    <w:p w:rsidR="00205612" w:rsidRPr="008F15BB" w:rsidRDefault="00205612" w:rsidP="00205612">
      <w:pPr>
        <w:ind w:firstLine="720"/>
        <w:rPr>
          <w:rFonts w:cs="Tahoma"/>
        </w:rPr>
      </w:pPr>
      <w:r w:rsidRPr="008F15BB">
        <w:rPr>
          <w:rFonts w:cs="Tahoma"/>
        </w:rPr>
        <w:t>Productivity in banks, as measured by the amount of assets per employee has improved in eleven banks. In seven of them this is due to the faster growth of their assets compared to the growth in the number of employees. Three banks increased their productivity as a result of the reduced number of employees, and in one bank it is due to the simultaneous decrease in both the number of employees and its assets.</w:t>
      </w:r>
    </w:p>
    <w:p w:rsidR="00205612" w:rsidRPr="008F15BB" w:rsidRDefault="00205612" w:rsidP="00205612">
      <w:pPr>
        <w:ind w:firstLine="720"/>
        <w:rPr>
          <w:rFonts w:cs="Tahoma"/>
        </w:rPr>
      </w:pPr>
    </w:p>
    <w:p w:rsidR="00205612" w:rsidRPr="008F15BB" w:rsidRDefault="00205612" w:rsidP="00205612">
      <w:pPr>
        <w:ind w:firstLine="720"/>
        <w:rPr>
          <w:rFonts w:cs="Tahoma"/>
        </w:rPr>
      </w:pPr>
      <w:r w:rsidRPr="008F15BB">
        <w:rPr>
          <w:rFonts w:cs="Tahoma"/>
        </w:rPr>
        <w:t xml:space="preserve">The qualification structure of the employees in the banking system has been constantly improving (Annex 4).    </w:t>
      </w:r>
    </w:p>
    <w:p w:rsidR="00205612" w:rsidRPr="008F15BB" w:rsidRDefault="00205612" w:rsidP="00205612"/>
    <w:p w:rsidR="00205612" w:rsidRPr="008F15BB" w:rsidRDefault="00205612" w:rsidP="00205612"/>
    <w:p w:rsidR="00205612" w:rsidRDefault="00205612" w:rsidP="00205612"/>
    <w:p w:rsidR="00205612" w:rsidRDefault="00205612" w:rsidP="00205612"/>
    <w:p w:rsidR="00205612" w:rsidRDefault="00205612" w:rsidP="00205612"/>
    <w:p w:rsidR="00205612" w:rsidRDefault="00205612" w:rsidP="00205612"/>
    <w:p w:rsidR="00875109" w:rsidRDefault="00875109" w:rsidP="00205612"/>
    <w:p w:rsidR="00F96D08" w:rsidRDefault="00F96D08" w:rsidP="00205612"/>
    <w:p w:rsidR="00F96D08" w:rsidRDefault="00F96D08" w:rsidP="00205612"/>
    <w:p w:rsidR="00F96D08" w:rsidRDefault="00F96D08" w:rsidP="00205612"/>
    <w:p w:rsidR="00F96D08" w:rsidRDefault="00F96D08" w:rsidP="00205612"/>
    <w:p w:rsidR="00F96D08" w:rsidRDefault="00F96D08" w:rsidP="00205612"/>
    <w:p w:rsidR="00F96D08" w:rsidRPr="008F15BB" w:rsidRDefault="00F96D08" w:rsidP="00205612"/>
    <w:p w:rsidR="00205612" w:rsidRPr="00875109" w:rsidRDefault="00205612" w:rsidP="00C5550A">
      <w:pPr>
        <w:pStyle w:val="Heading2"/>
      </w:pPr>
      <w:bookmarkStart w:id="75" w:name="_Toc393283606"/>
      <w:r w:rsidRPr="00875109">
        <w:lastRenderedPageBreak/>
        <w:t>Ownership structure of the banking system</w:t>
      </w:r>
      <w:bookmarkEnd w:id="75"/>
    </w:p>
    <w:p w:rsidR="00205612" w:rsidRPr="008F15BB" w:rsidRDefault="00205612" w:rsidP="00205612">
      <w:pPr>
        <w:ind w:firstLine="720"/>
        <w:rPr>
          <w:rFonts w:cs="Tahoma"/>
          <w:b/>
        </w:rPr>
      </w:pPr>
    </w:p>
    <w:p w:rsidR="00205612" w:rsidRPr="008F15BB" w:rsidRDefault="00803610" w:rsidP="00205612">
      <w:pPr>
        <w:ind w:firstLine="720"/>
        <w:rPr>
          <w:rFonts w:cs="Tahoma"/>
        </w:rPr>
      </w:pPr>
      <w:r w:rsidRPr="00803610">
        <w:rPr>
          <w:noProof/>
          <w:snapToGrid w:val="0"/>
          <w:w w:val="0"/>
          <w:lang w:val="mk-MK"/>
        </w:rPr>
        <w:pict>
          <v:shape id="_x0000_s1221" type="#_x0000_t202" style="position:absolute;left:0;text-align:left;margin-left:-225.75pt;margin-top:.6pt;width:221.6pt;height:344.2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vk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" stroked="f">
            <v:textbox style="mso-next-textbox:#_x0000_s1221">
              <w:txbxContent>
                <w:p w:rsidR="00280598" w:rsidRDefault="00280598" w:rsidP="00875109">
                  <w:pPr>
                    <w:pStyle w:val="Caption"/>
                  </w:pPr>
                  <w:r>
                    <w:t>Chart</w:t>
                  </w:r>
                  <w:r w:rsidRPr="00E8302F">
                    <w:t xml:space="preserve"> </w:t>
                  </w:r>
                  <w:fldSimple w:instr=" SEQ Графикон_бр. \* ARABIC ">
                    <w:r>
                      <w:rPr>
                        <w:noProof/>
                      </w:rPr>
                      <w:t>71</w:t>
                    </w:r>
                  </w:fldSimple>
                </w:p>
                <w:p w:rsidR="00280598" w:rsidRPr="008F15BB" w:rsidRDefault="00280598" w:rsidP="00205612">
                  <w:pPr>
                    <w:pStyle w:val="Caption"/>
                    <w:rPr>
                      <w:b w:val="0"/>
                      <w:szCs w:val="20"/>
                    </w:rPr>
                  </w:pPr>
                  <w:r w:rsidRPr="008F15BB">
                    <w:rPr>
                      <w:szCs w:val="20"/>
                    </w:rPr>
                    <w:t xml:space="preserve">Ownership structure of ordinary </w:t>
                  </w:r>
                  <w:r w:rsidRPr="008F15BB">
                    <w:rPr>
                      <w:szCs w:val="20"/>
                      <w:lang w:val="mk-MK"/>
                    </w:rPr>
                    <w:t>(</w:t>
                  </w:r>
                  <w:r w:rsidRPr="008F15BB">
                    <w:rPr>
                      <w:szCs w:val="20"/>
                    </w:rPr>
                    <w:t>up</w:t>
                  </w:r>
                  <w:r w:rsidRPr="008F15BB">
                    <w:rPr>
                      <w:szCs w:val="20"/>
                      <w:lang w:val="mk-MK"/>
                    </w:rPr>
                    <w:t xml:space="preserve">) </w:t>
                  </w:r>
                  <w:r w:rsidRPr="008F15BB">
                    <w:rPr>
                      <w:szCs w:val="20"/>
                    </w:rPr>
                    <w:t>and preference</w:t>
                  </w:r>
                  <w:r w:rsidRPr="008F15BB">
                    <w:rPr>
                      <w:szCs w:val="20"/>
                      <w:lang w:val="mk-MK"/>
                    </w:rPr>
                    <w:t xml:space="preserve"> (</w:t>
                  </w:r>
                  <w:r w:rsidRPr="008F15BB">
                    <w:rPr>
                      <w:szCs w:val="20"/>
                    </w:rPr>
                    <w:t>down</w:t>
                  </w:r>
                  <w:r w:rsidRPr="008F15BB">
                    <w:rPr>
                      <w:szCs w:val="20"/>
                      <w:lang w:val="mk-MK"/>
                    </w:rPr>
                    <w:t xml:space="preserve">) </w:t>
                  </w:r>
                  <w:r w:rsidRPr="008F15BB">
                    <w:rPr>
                      <w:szCs w:val="20"/>
                    </w:rPr>
                    <w:t>shares in the banking system</w:t>
                  </w:r>
                </w:p>
                <w:p w:rsidR="00280598" w:rsidRPr="00D21EB8" w:rsidRDefault="00280598" w:rsidP="00205612">
                  <w:pPr>
                    <w:rPr>
                      <w:sz w:val="18"/>
                      <w:szCs w:val="18"/>
                    </w:rPr>
                  </w:pPr>
                  <w:r>
                    <w:rPr>
                      <w:sz w:val="18"/>
                      <w:szCs w:val="18"/>
                    </w:rPr>
                    <w:t>in %</w:t>
                  </w:r>
                </w:p>
                <w:p w:rsidR="00280598" w:rsidRPr="00DC0F90" w:rsidRDefault="00280598" w:rsidP="00205612">
                  <w:pPr>
                    <w:pStyle w:val="Caption"/>
                    <w:rPr>
                      <w:b w:val="0"/>
                      <w:lang w:val="mk-MK"/>
                    </w:rPr>
                  </w:pPr>
                  <w:r w:rsidRPr="00D46828">
                    <w:rPr>
                      <w:noProof/>
                    </w:rPr>
                    <w:drawing>
                      <wp:inline distT="0" distB="0" distL="0" distR="0">
                        <wp:extent cx="2576967" cy="3312547"/>
                        <wp:effectExtent l="19050" t="19050" r="13833" b="21203"/>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srcRect/>
                                <a:stretch>
                                  <a:fillRect/>
                                </a:stretch>
                              </pic:blipFill>
                              <pic:spPr bwMode="auto">
                                <a:xfrm>
                                  <a:off x="0" y="0"/>
                                  <a:ext cx="2578801" cy="3314905"/>
                                </a:xfrm>
                                <a:prstGeom prst="rect">
                                  <a:avLst/>
                                </a:prstGeom>
                                <a:noFill/>
                                <a:ln w="9525">
                                  <a:solidFill>
                                    <a:schemeClr val="tx1"/>
                                  </a:solidFill>
                                  <a:miter lim="800000"/>
                                  <a:headEnd/>
                                  <a:tailEnd/>
                                </a:ln>
                              </pic:spPr>
                            </pic:pic>
                          </a:graphicData>
                        </a:graphic>
                      </wp:inline>
                    </w:drawing>
                  </w:r>
                </w:p>
                <w:p w:rsidR="00280598" w:rsidRPr="00875109" w:rsidRDefault="00280598" w:rsidP="00875109">
                  <w:pPr>
                    <w:pStyle w:val="Caption"/>
                    <w:rPr>
                      <w:b w:val="0"/>
                      <w:sz w:val="18"/>
                      <w:szCs w:val="18"/>
                      <w:lang w:val="mk-MK"/>
                    </w:rPr>
                  </w:pPr>
                  <w:r>
                    <w:rPr>
                      <w:sz w:val="18"/>
                      <w:szCs w:val="18"/>
                    </w:rPr>
                    <w:t xml:space="preserve"> </w:t>
                  </w:r>
                  <w:r w:rsidRPr="00875109">
                    <w:rPr>
                      <w:b w:val="0"/>
                      <w:sz w:val="18"/>
                      <w:szCs w:val="18"/>
                    </w:rPr>
                    <w:t>Source</w:t>
                  </w:r>
                  <w:r w:rsidRPr="00875109">
                    <w:rPr>
                      <w:b w:val="0"/>
                      <w:sz w:val="18"/>
                      <w:szCs w:val="18"/>
                      <w:lang w:val="mk-MK"/>
                    </w:rPr>
                    <w:t>:</w:t>
                  </w:r>
                  <w:r w:rsidRPr="00875109">
                    <w:rPr>
                      <w:rFonts w:cs="Tahoma"/>
                      <w:b w:val="0"/>
                      <w:sz w:val="18"/>
                      <w:szCs w:val="18"/>
                      <w:lang w:val="mk-MK"/>
                    </w:rPr>
                    <w:t xml:space="preserve"> </w:t>
                  </w:r>
                  <w:r w:rsidRPr="00875109">
                    <w:rPr>
                      <w:rFonts w:cs="Tahoma"/>
                      <w:b w:val="0"/>
                      <w:sz w:val="18"/>
                      <w:szCs w:val="18"/>
                    </w:rPr>
                    <w:t>NBRM</w:t>
                  </w:r>
                  <w:r w:rsidRPr="00875109">
                    <w:rPr>
                      <w:rFonts w:cs="Tahoma"/>
                      <w:b w:val="0"/>
                      <w:sz w:val="18"/>
                      <w:szCs w:val="18"/>
                      <w:lang w:val="mk-MK"/>
                    </w:rPr>
                    <w:t xml:space="preserve">, </w:t>
                  </w:r>
                  <w:r w:rsidRPr="00875109">
                    <w:rPr>
                      <w:rFonts w:cs="Tahoma"/>
                      <w:b w:val="0"/>
                      <w:sz w:val="18"/>
                      <w:szCs w:val="18"/>
                    </w:rPr>
                    <w:t>based on data submitted by banks.</w:t>
                  </w:r>
                </w:p>
                <w:p w:rsidR="00280598" w:rsidRDefault="00280598" w:rsidP="00205612">
                  <w:pPr>
                    <w:pStyle w:val="Caption"/>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Pr="008476D5" w:rsidRDefault="00280598" w:rsidP="00205612">
                  <w:pPr>
                    <w:rPr>
                      <w:sz w:val="20"/>
                      <w:szCs w:val="20"/>
                      <w:lang w:val="mk-MK"/>
                    </w:rPr>
                  </w:pPr>
                  <w:r w:rsidRPr="008476D5">
                    <w:rPr>
                      <w:sz w:val="20"/>
                      <w:szCs w:val="20"/>
                      <w:lang w:val="mk-MK"/>
                    </w:rPr>
                    <w:t>Извор:</w:t>
                  </w:r>
                </w:p>
              </w:txbxContent>
            </v:textbox>
            <w10:wrap type="square"/>
          </v:shape>
        </w:pict>
      </w:r>
      <w:r w:rsidR="00205612" w:rsidRPr="008F15BB">
        <w:rPr>
          <w:rFonts w:cs="Tahoma"/>
        </w:rPr>
        <w:t>In 2013, financial institutions still prevail in the structure of the common shares, while natural persons are still predominant in the structure of the preference shares. The participation of financial institutions in the structure of common shares fell by 0.5 percentage points</w:t>
      </w:r>
      <w:r w:rsidR="00205612" w:rsidRPr="008F15BB">
        <w:rPr>
          <w:rStyle w:val="FootnoteReference"/>
          <w:rFonts w:cs="Tahoma"/>
        </w:rPr>
        <w:footnoteReference w:id="60"/>
      </w:r>
      <w:r w:rsidR="00205612" w:rsidRPr="008F15BB">
        <w:rPr>
          <w:rFonts w:cs="Tahoma"/>
        </w:rPr>
        <w:t>. The structure of the preference shares remained almost unchanged.</w:t>
      </w: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Default="00205612" w:rsidP="00205612">
      <w:pPr>
        <w:ind w:firstLine="720"/>
        <w:rPr>
          <w:rFonts w:cs="Tahoma"/>
        </w:rPr>
      </w:pPr>
    </w:p>
    <w:p w:rsidR="00205612" w:rsidRDefault="00205612" w:rsidP="00205612">
      <w:pPr>
        <w:ind w:firstLine="720"/>
        <w:rPr>
          <w:rFonts w:cs="Tahoma"/>
        </w:rPr>
      </w:pPr>
    </w:p>
    <w:p w:rsidR="00205612" w:rsidRPr="008F15BB" w:rsidRDefault="00205612" w:rsidP="00205612">
      <w:pPr>
        <w:ind w:firstLine="720"/>
        <w:rPr>
          <w:rFonts w:cs="Tahoma"/>
        </w:rPr>
      </w:pPr>
    </w:p>
    <w:p w:rsidR="00205612" w:rsidRDefault="00205612" w:rsidP="00205612">
      <w:pPr>
        <w:ind w:firstLine="720"/>
        <w:rPr>
          <w:rFonts w:cs="Tahoma"/>
        </w:rPr>
      </w:pPr>
    </w:p>
    <w:p w:rsidR="00205612" w:rsidRDefault="00205612" w:rsidP="00205612">
      <w:pPr>
        <w:ind w:firstLine="720"/>
        <w:rPr>
          <w:rFonts w:cs="Tahoma"/>
        </w:rPr>
      </w:pPr>
    </w:p>
    <w:p w:rsidR="00205612" w:rsidRDefault="00205612" w:rsidP="00205612">
      <w:pPr>
        <w:ind w:firstLine="720"/>
        <w:rPr>
          <w:rFonts w:cs="Tahoma"/>
        </w:rPr>
      </w:pPr>
    </w:p>
    <w:p w:rsidR="00875109" w:rsidRDefault="00875109" w:rsidP="00205612">
      <w:pPr>
        <w:ind w:firstLine="720"/>
        <w:rPr>
          <w:rFonts w:cs="Tahoma"/>
        </w:rPr>
      </w:pPr>
    </w:p>
    <w:p w:rsidR="00875109" w:rsidRDefault="00875109" w:rsidP="00205612">
      <w:pPr>
        <w:ind w:firstLine="720"/>
        <w:rPr>
          <w:rFonts w:cs="Tahoma"/>
        </w:rPr>
      </w:pPr>
    </w:p>
    <w:p w:rsidR="00205612" w:rsidRDefault="00205612" w:rsidP="00205612">
      <w:pPr>
        <w:ind w:firstLine="720"/>
        <w:rPr>
          <w:rFonts w:cs="Tahoma"/>
        </w:rPr>
      </w:pPr>
    </w:p>
    <w:p w:rsidR="00205612" w:rsidRDefault="00205612" w:rsidP="00205612">
      <w:pPr>
        <w:ind w:firstLine="720"/>
        <w:rPr>
          <w:rFonts w:cs="Tahoma"/>
        </w:rPr>
      </w:pPr>
    </w:p>
    <w:p w:rsidR="00F96D08" w:rsidRDefault="00F96D08" w:rsidP="00205612">
      <w:pPr>
        <w:ind w:firstLine="720"/>
        <w:rPr>
          <w:rFonts w:cs="Tahoma"/>
        </w:rPr>
      </w:pPr>
    </w:p>
    <w:p w:rsidR="00F96D08" w:rsidRDefault="00F96D08" w:rsidP="00205612">
      <w:pPr>
        <w:ind w:firstLine="720"/>
        <w:rPr>
          <w:rFonts w:cs="Tahoma"/>
        </w:rPr>
      </w:pPr>
    </w:p>
    <w:p w:rsidR="00F96D08" w:rsidRDefault="00F96D08" w:rsidP="00205612">
      <w:pPr>
        <w:ind w:firstLine="720"/>
        <w:rPr>
          <w:rFonts w:cs="Tahoma"/>
        </w:rPr>
      </w:pPr>
    </w:p>
    <w:p w:rsidR="00F96D08" w:rsidRDefault="00F96D08" w:rsidP="00205612">
      <w:pPr>
        <w:ind w:firstLine="720"/>
        <w:rPr>
          <w:rFonts w:cs="Tahoma"/>
        </w:rPr>
      </w:pPr>
    </w:p>
    <w:p w:rsidR="00F96D08" w:rsidRDefault="00F96D08" w:rsidP="00205612">
      <w:pPr>
        <w:ind w:firstLine="720"/>
        <w:rPr>
          <w:rFonts w:cs="Tahoma"/>
        </w:rPr>
      </w:pPr>
    </w:p>
    <w:p w:rsidR="00F96D08" w:rsidRDefault="00F96D08" w:rsidP="00205612">
      <w:pPr>
        <w:ind w:firstLine="720"/>
        <w:rPr>
          <w:rFonts w:cs="Tahoma"/>
        </w:rPr>
      </w:pPr>
    </w:p>
    <w:p w:rsidR="00F96D08" w:rsidRDefault="00F96D08" w:rsidP="00205612">
      <w:pPr>
        <w:ind w:firstLine="720"/>
        <w:rPr>
          <w:rFonts w:cs="Tahoma"/>
        </w:rPr>
      </w:pPr>
    </w:p>
    <w:p w:rsidR="00F96D08" w:rsidRDefault="00F96D08" w:rsidP="00205612">
      <w:pPr>
        <w:ind w:firstLine="720"/>
        <w:rPr>
          <w:rFonts w:cs="Tahoma"/>
        </w:rPr>
      </w:pPr>
    </w:p>
    <w:p w:rsidR="00F96D08" w:rsidRDefault="00F96D08" w:rsidP="00205612">
      <w:pPr>
        <w:ind w:firstLine="720"/>
        <w:rPr>
          <w:rFonts w:cs="Tahoma"/>
        </w:rPr>
      </w:pPr>
    </w:p>
    <w:p w:rsidR="00F96D08" w:rsidRDefault="00F96D08" w:rsidP="00205612">
      <w:pPr>
        <w:ind w:firstLine="720"/>
        <w:rPr>
          <w:rFonts w:cs="Tahoma"/>
        </w:rPr>
      </w:pPr>
    </w:p>
    <w:p w:rsidR="00F96D08" w:rsidRPr="008F15BB" w:rsidRDefault="00F96D08" w:rsidP="00205612">
      <w:pPr>
        <w:ind w:firstLine="720"/>
        <w:rPr>
          <w:rFonts w:cs="Tahoma"/>
        </w:rPr>
      </w:pPr>
    </w:p>
    <w:p w:rsidR="00205612" w:rsidRPr="008F15BB" w:rsidRDefault="00803610" w:rsidP="00205612">
      <w:pPr>
        <w:ind w:firstLine="720"/>
        <w:rPr>
          <w:rFonts w:cs="Tahoma"/>
        </w:rPr>
      </w:pPr>
      <w:r>
        <w:rPr>
          <w:rFonts w:cs="Tahoma"/>
          <w:noProof/>
        </w:rPr>
        <w:lastRenderedPageBreak/>
        <w:pict>
          <v:shape id="_x0000_s1222" type="#_x0000_t202" style="position:absolute;left:0;text-align:left;margin-left:-226.5pt;margin-top:-8.1pt;width:221.6pt;height:284.2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" stroked="f">
            <v:textbox style="mso-next-textbox:#_x0000_s1222">
              <w:txbxContent>
                <w:p w:rsidR="00280598" w:rsidRDefault="00280598" w:rsidP="00875109">
                  <w:pPr>
                    <w:pStyle w:val="Caption"/>
                  </w:pPr>
                  <w:r>
                    <w:t>Chart</w:t>
                  </w:r>
                  <w:r w:rsidRPr="00E8302F">
                    <w:t xml:space="preserve"> </w:t>
                  </w:r>
                  <w:fldSimple w:instr=" SEQ Графикон_бр. \* ARABIC ">
                    <w:r>
                      <w:rPr>
                        <w:noProof/>
                      </w:rPr>
                      <w:t>72</w:t>
                    </w:r>
                  </w:fldSimple>
                </w:p>
                <w:p w:rsidR="00280598" w:rsidRPr="008F15BB" w:rsidRDefault="00280598" w:rsidP="00205612">
                  <w:pPr>
                    <w:rPr>
                      <w:b/>
                      <w:sz w:val="20"/>
                      <w:szCs w:val="20"/>
                    </w:rPr>
                  </w:pPr>
                  <w:r w:rsidRPr="008F15BB">
                    <w:rPr>
                      <w:b/>
                      <w:sz w:val="20"/>
                      <w:szCs w:val="20"/>
                    </w:rPr>
                    <w:t>Banks’ market share in dominant foreign ownership and trend of foreign capital share in total capital</w:t>
                  </w:r>
                </w:p>
                <w:p w:rsidR="00280598" w:rsidRPr="009A309E" w:rsidRDefault="00280598" w:rsidP="00205612">
                  <w:pPr>
                    <w:rPr>
                      <w:sz w:val="18"/>
                      <w:szCs w:val="18"/>
                    </w:rPr>
                  </w:pPr>
                  <w:r>
                    <w:rPr>
                      <w:sz w:val="18"/>
                      <w:szCs w:val="18"/>
                    </w:rPr>
                    <w:t>in %</w:t>
                  </w:r>
                </w:p>
                <w:p w:rsidR="00280598" w:rsidRPr="00DC0F90" w:rsidRDefault="00280598" w:rsidP="00205612">
                  <w:pPr>
                    <w:pStyle w:val="Caption"/>
                    <w:rPr>
                      <w:b w:val="0"/>
                      <w:lang w:val="mk-MK"/>
                    </w:rPr>
                  </w:pPr>
                  <w:r w:rsidRPr="00D46828">
                    <w:rPr>
                      <w:noProof/>
                    </w:rPr>
                    <w:drawing>
                      <wp:inline distT="0" distB="0" distL="0" distR="0">
                        <wp:extent cx="2543838" cy="1792497"/>
                        <wp:effectExtent l="19050" t="0" r="8862" b="0"/>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srcRect/>
                                <a:stretch>
                                  <a:fillRect/>
                                </a:stretch>
                              </pic:blipFill>
                              <pic:spPr bwMode="auto">
                                <a:xfrm>
                                  <a:off x="0" y="0"/>
                                  <a:ext cx="2546456" cy="1794342"/>
                                </a:xfrm>
                                <a:prstGeom prst="rect">
                                  <a:avLst/>
                                </a:prstGeom>
                                <a:noFill/>
                                <a:ln w="9525">
                                  <a:noFill/>
                                  <a:miter lim="800000"/>
                                  <a:headEnd/>
                                  <a:tailEnd/>
                                </a:ln>
                              </pic:spPr>
                            </pic:pic>
                          </a:graphicData>
                        </a:graphic>
                      </wp:inline>
                    </w:drawing>
                  </w:r>
                </w:p>
                <w:p w:rsidR="00280598" w:rsidRPr="00C17996" w:rsidRDefault="00280598" w:rsidP="00205612">
                  <w:r>
                    <w:rPr>
                      <w:sz w:val="18"/>
                      <w:szCs w:val="18"/>
                    </w:rPr>
                    <w:t>Source</w:t>
                  </w:r>
                  <w:r w:rsidRPr="00A72927">
                    <w:rPr>
                      <w:sz w:val="18"/>
                      <w:szCs w:val="18"/>
                      <w:lang w:val="mk-MK"/>
                    </w:rPr>
                    <w:t>:</w:t>
                  </w:r>
                  <w:r w:rsidRPr="00A72927">
                    <w:rPr>
                      <w:rFonts w:cs="Tahoma"/>
                      <w:sz w:val="18"/>
                      <w:szCs w:val="18"/>
                      <w:lang w:val="mk-MK"/>
                    </w:rPr>
                    <w:t xml:space="preserve"> </w:t>
                  </w:r>
                  <w:r>
                    <w:rPr>
                      <w:rFonts w:cs="Tahoma"/>
                      <w:sz w:val="18"/>
                      <w:szCs w:val="18"/>
                    </w:rPr>
                    <w:t>NBRM</w:t>
                  </w:r>
                  <w:r w:rsidRPr="00A72927">
                    <w:rPr>
                      <w:rFonts w:cs="Tahoma"/>
                      <w:sz w:val="18"/>
                      <w:szCs w:val="18"/>
                      <w:lang w:val="mk-MK"/>
                    </w:rPr>
                    <w:t xml:space="preserve">, </w:t>
                  </w:r>
                  <w:r>
                    <w:rPr>
                      <w:rFonts w:cs="Tahoma"/>
                      <w:sz w:val="18"/>
                      <w:szCs w:val="18"/>
                    </w:rPr>
                    <w:t>based on data submitted by banks.</w:t>
                  </w:r>
                </w:p>
                <w:p w:rsidR="00280598" w:rsidRDefault="00280598" w:rsidP="00205612">
                  <w:pPr>
                    <w:rPr>
                      <w:sz w:val="18"/>
                      <w:szCs w:val="18"/>
                    </w:rPr>
                  </w:pPr>
                  <w:r>
                    <w:rPr>
                      <w:sz w:val="18"/>
                      <w:szCs w:val="18"/>
                    </w:rPr>
                    <w:t>*</w:t>
                  </w:r>
                  <w:r w:rsidRPr="00D34699">
                    <w:rPr>
                      <w:sz w:val="18"/>
                      <w:szCs w:val="18"/>
                    </w:rPr>
                    <w:t xml:space="preserve">Total capital includes </w:t>
                  </w:r>
                  <w:r>
                    <w:rPr>
                      <w:sz w:val="18"/>
                      <w:szCs w:val="18"/>
                    </w:rPr>
                    <w:t>equity</w:t>
                  </w:r>
                  <w:r w:rsidRPr="00D34699">
                    <w:rPr>
                      <w:sz w:val="18"/>
                      <w:szCs w:val="18"/>
                    </w:rPr>
                    <w:t xml:space="preserve"> capital, reserve</w:t>
                  </w:r>
                  <w:r>
                    <w:rPr>
                      <w:sz w:val="18"/>
                      <w:szCs w:val="18"/>
                    </w:rPr>
                    <w:t xml:space="preserve"> fund</w:t>
                  </w:r>
                  <w:r w:rsidRPr="00D34699">
                    <w:rPr>
                      <w:sz w:val="18"/>
                      <w:szCs w:val="18"/>
                    </w:rPr>
                    <w:t>, retained earnings (accumulated loss) and revaluation reserves.</w:t>
                  </w:r>
                </w:p>
                <w:p w:rsidR="00280598" w:rsidRPr="00F96D08" w:rsidRDefault="00280598" w:rsidP="00205612">
                  <w:pPr>
                    <w:rPr>
                      <w:sz w:val="18"/>
                      <w:szCs w:val="18"/>
                    </w:rPr>
                  </w:pPr>
                  <w:r>
                    <w:rPr>
                      <w:sz w:val="18"/>
                      <w:szCs w:val="18"/>
                    </w:rPr>
                    <w:t>**</w:t>
                  </w:r>
                  <w:r w:rsidRPr="00D34699">
                    <w:rPr>
                      <w:sz w:val="18"/>
                      <w:szCs w:val="18"/>
                    </w:rPr>
                    <w:t>This capital refers to the face value of paid</w:t>
                  </w:r>
                  <w:r>
                    <w:rPr>
                      <w:sz w:val="18"/>
                      <w:szCs w:val="18"/>
                    </w:rPr>
                    <w:t>-in and</w:t>
                  </w:r>
                  <w:r w:rsidRPr="00D34699">
                    <w:rPr>
                      <w:sz w:val="18"/>
                      <w:szCs w:val="18"/>
                    </w:rPr>
                    <w:t xml:space="preserve"> subscribe</w:t>
                  </w:r>
                  <w:r>
                    <w:rPr>
                      <w:sz w:val="18"/>
                      <w:szCs w:val="18"/>
                    </w:rPr>
                    <w:t>d common</w:t>
                  </w:r>
                  <w:r w:rsidRPr="00D34699">
                    <w:rPr>
                      <w:sz w:val="18"/>
                      <w:szCs w:val="18"/>
                    </w:rPr>
                    <w:t xml:space="preserve"> and cumulative preference shares</w:t>
                  </w:r>
                  <w:r>
                    <w:rPr>
                      <w:sz w:val="18"/>
                      <w:szCs w:val="18"/>
                    </w:rPr>
                    <w:t>.</w:t>
                  </w:r>
                </w:p>
                <w:p w:rsidR="00280598" w:rsidRPr="00EE26CC" w:rsidRDefault="00280598" w:rsidP="00205612"/>
                <w:p w:rsidR="00280598" w:rsidRDefault="00280598" w:rsidP="00205612">
                  <w:pPr>
                    <w:pStyle w:val="Caption"/>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Pr="008476D5" w:rsidRDefault="00280598" w:rsidP="00205612">
                  <w:pPr>
                    <w:rPr>
                      <w:sz w:val="20"/>
                      <w:szCs w:val="20"/>
                      <w:lang w:val="mk-MK"/>
                    </w:rPr>
                  </w:pPr>
                  <w:r w:rsidRPr="008476D5">
                    <w:rPr>
                      <w:sz w:val="20"/>
                      <w:szCs w:val="20"/>
                      <w:lang w:val="mk-MK"/>
                    </w:rPr>
                    <w:t>Извор:</w:t>
                  </w:r>
                </w:p>
              </w:txbxContent>
            </v:textbox>
            <w10:wrap type="square"/>
          </v:shape>
        </w:pict>
      </w:r>
      <w:r w:rsidR="00205612" w:rsidRPr="008F15BB">
        <w:rPr>
          <w:rFonts w:cs="Tahoma"/>
        </w:rPr>
        <w:t>In 2013, the share of foreign capital in the total capital of the banking system remained unchanged and amounted to 75.2%.</w:t>
      </w:r>
    </w:p>
    <w:p w:rsidR="00875109" w:rsidRPr="008F15BB" w:rsidRDefault="00875109" w:rsidP="00205612">
      <w:pPr>
        <w:ind w:firstLine="720"/>
        <w:rPr>
          <w:rFonts w:cs="Tahoma"/>
        </w:rPr>
      </w:pPr>
    </w:p>
    <w:p w:rsidR="00205612" w:rsidRPr="008F15BB" w:rsidRDefault="00205612" w:rsidP="00205612">
      <w:pPr>
        <w:ind w:firstLine="720"/>
        <w:rPr>
          <w:rFonts w:cs="Tahoma"/>
        </w:rPr>
      </w:pPr>
      <w:r w:rsidRPr="008F15BB">
        <w:rPr>
          <w:rFonts w:cs="Tahoma"/>
        </w:rPr>
        <w:t>The reduction in the number of banks that are mostly foreign owned (from twelve to eleven) occurred in June 2013, when one bank was transferred from predominantly foreign ownership to predominantly domestic ownership. This change reflected on the decline in the share of assets and capital of banks which are mostly foreign owned in the total assets and total capital of the banking system (by 23.8 and 22.2 percentage points, respectively).</w:t>
      </w:r>
    </w:p>
    <w:p w:rsidR="00875109" w:rsidRPr="008F15BB" w:rsidRDefault="00875109" w:rsidP="00205612">
      <w:pPr>
        <w:ind w:firstLine="720"/>
        <w:rPr>
          <w:rFonts w:cs="Tahoma"/>
        </w:rPr>
      </w:pPr>
    </w:p>
    <w:p w:rsidR="00205612" w:rsidRPr="008F15BB" w:rsidRDefault="00803610" w:rsidP="00205612">
      <w:pPr>
        <w:ind w:firstLine="720"/>
        <w:rPr>
          <w:rFonts w:cs="Tahoma"/>
        </w:rPr>
      </w:pPr>
      <w:r>
        <w:rPr>
          <w:rFonts w:cs="Tahoma"/>
          <w:noProof/>
        </w:rPr>
        <w:pict>
          <v:shape id="_x0000_s1223" type="#_x0000_t202" style="position:absolute;left:0;text-align:left;margin-left:-230.6pt;margin-top:80.75pt;width:221.6pt;height:213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" stroked="f">
            <v:textbox style="mso-next-textbox:#_x0000_s1223">
              <w:txbxContent>
                <w:p w:rsidR="00280598" w:rsidRDefault="00280598" w:rsidP="00875109">
                  <w:pPr>
                    <w:pStyle w:val="Caption"/>
                  </w:pPr>
                  <w:r>
                    <w:t>Chart</w:t>
                  </w:r>
                  <w:r w:rsidRPr="00E8302F">
                    <w:t xml:space="preserve"> </w:t>
                  </w:r>
                  <w:fldSimple w:instr=" SEQ Графикон_бр. \* ARABIC ">
                    <w:r>
                      <w:rPr>
                        <w:noProof/>
                      </w:rPr>
                      <w:t>73</w:t>
                    </w:r>
                  </w:fldSimple>
                </w:p>
                <w:p w:rsidR="00280598" w:rsidRPr="008F15BB" w:rsidRDefault="00280598" w:rsidP="00205612">
                  <w:pPr>
                    <w:pStyle w:val="Caption"/>
                    <w:rPr>
                      <w:b w:val="0"/>
                      <w:szCs w:val="20"/>
                    </w:rPr>
                  </w:pPr>
                  <w:r w:rsidRPr="008F15BB">
                    <w:rPr>
                      <w:szCs w:val="20"/>
                    </w:rPr>
                    <w:t>Structure of major banks' balance sheet positions, by banks' majority ownership</w:t>
                  </w:r>
                </w:p>
                <w:p w:rsidR="00280598" w:rsidRPr="009A309E" w:rsidRDefault="00280598" w:rsidP="00205612">
                  <w:pPr>
                    <w:rPr>
                      <w:sz w:val="18"/>
                      <w:szCs w:val="18"/>
                    </w:rPr>
                  </w:pPr>
                  <w:r>
                    <w:rPr>
                      <w:sz w:val="18"/>
                      <w:szCs w:val="18"/>
                    </w:rPr>
                    <w:t>in %</w:t>
                  </w:r>
                </w:p>
                <w:p w:rsidR="00280598" w:rsidRPr="00DC0F90" w:rsidRDefault="00280598" w:rsidP="00205612">
                  <w:pPr>
                    <w:pStyle w:val="Caption"/>
                    <w:rPr>
                      <w:b w:val="0"/>
                      <w:lang w:val="mk-MK"/>
                    </w:rPr>
                  </w:pPr>
                  <w:r w:rsidRPr="00B542E9">
                    <w:rPr>
                      <w:noProof/>
                    </w:rPr>
                    <w:drawing>
                      <wp:inline distT="0" distB="0" distL="0" distR="0">
                        <wp:extent cx="2549221" cy="1598212"/>
                        <wp:effectExtent l="19050" t="0" r="3479" b="0"/>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srcRect/>
                                <a:stretch>
                                  <a:fillRect/>
                                </a:stretch>
                              </pic:blipFill>
                              <pic:spPr bwMode="auto">
                                <a:xfrm>
                                  <a:off x="0" y="0"/>
                                  <a:ext cx="2553974" cy="1601192"/>
                                </a:xfrm>
                                <a:prstGeom prst="rect">
                                  <a:avLst/>
                                </a:prstGeom>
                                <a:noFill/>
                                <a:ln w="9525">
                                  <a:noFill/>
                                  <a:miter lim="800000"/>
                                  <a:headEnd/>
                                  <a:tailEnd/>
                                </a:ln>
                              </pic:spPr>
                            </pic:pic>
                          </a:graphicData>
                        </a:graphic>
                      </wp:inline>
                    </w:drawing>
                  </w:r>
                </w:p>
                <w:p w:rsidR="00280598" w:rsidRPr="00C17996" w:rsidRDefault="00280598" w:rsidP="00205612">
                  <w:r>
                    <w:rPr>
                      <w:sz w:val="18"/>
                      <w:szCs w:val="18"/>
                    </w:rPr>
                    <w:t>Source</w:t>
                  </w:r>
                  <w:r w:rsidRPr="00A72927">
                    <w:rPr>
                      <w:sz w:val="18"/>
                      <w:szCs w:val="18"/>
                      <w:lang w:val="mk-MK"/>
                    </w:rPr>
                    <w:t>:</w:t>
                  </w:r>
                  <w:r w:rsidRPr="00A72927">
                    <w:rPr>
                      <w:rFonts w:cs="Tahoma"/>
                      <w:sz w:val="18"/>
                      <w:szCs w:val="18"/>
                      <w:lang w:val="mk-MK"/>
                    </w:rPr>
                    <w:t xml:space="preserve"> </w:t>
                  </w:r>
                  <w:r>
                    <w:rPr>
                      <w:rFonts w:cs="Tahoma"/>
                      <w:sz w:val="18"/>
                      <w:szCs w:val="18"/>
                    </w:rPr>
                    <w:t>NBRM</w:t>
                  </w:r>
                  <w:r w:rsidRPr="00A72927">
                    <w:rPr>
                      <w:rFonts w:cs="Tahoma"/>
                      <w:sz w:val="18"/>
                      <w:szCs w:val="18"/>
                      <w:lang w:val="mk-MK"/>
                    </w:rPr>
                    <w:t xml:space="preserve">, </w:t>
                  </w:r>
                  <w:r>
                    <w:rPr>
                      <w:rFonts w:cs="Tahoma"/>
                      <w:sz w:val="18"/>
                      <w:szCs w:val="18"/>
                    </w:rPr>
                    <w:t>based on data submitted by banks.</w:t>
                  </w:r>
                </w:p>
                <w:p w:rsidR="00280598" w:rsidRPr="00F96D08" w:rsidRDefault="00280598" w:rsidP="00205612">
                  <w:pPr>
                    <w:rPr>
                      <w:sz w:val="18"/>
                      <w:szCs w:val="18"/>
                    </w:rPr>
                  </w:pPr>
                  <w:r>
                    <w:rPr>
                      <w:sz w:val="18"/>
                      <w:szCs w:val="18"/>
                    </w:rPr>
                    <w:t>*The share in the capital is presented in the figure 72.</w:t>
                  </w:r>
                </w:p>
                <w:p w:rsidR="00280598" w:rsidRDefault="00280598" w:rsidP="00205612">
                  <w:pPr>
                    <w:pStyle w:val="Caption"/>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Pr="008476D5" w:rsidRDefault="00280598" w:rsidP="00205612">
                  <w:pPr>
                    <w:rPr>
                      <w:sz w:val="20"/>
                      <w:szCs w:val="20"/>
                      <w:lang w:val="mk-MK"/>
                    </w:rPr>
                  </w:pPr>
                  <w:r w:rsidRPr="008476D5">
                    <w:rPr>
                      <w:sz w:val="20"/>
                      <w:szCs w:val="20"/>
                      <w:lang w:val="mk-MK"/>
                    </w:rPr>
                    <w:t>Извор:</w:t>
                  </w:r>
                </w:p>
              </w:txbxContent>
            </v:textbox>
            <w10:wrap type="square"/>
          </v:shape>
        </w:pict>
      </w:r>
      <w:r w:rsidR="00205612" w:rsidRPr="008F15BB">
        <w:rPr>
          <w:rFonts w:cs="Tahoma"/>
        </w:rPr>
        <w:t>Banks that are predominantly in foreign ownership still play the leading role in the major balance sheet items. The changes that are observed in this analysis derive from the aforementioned transfer of one predominantly foreign-owned bank into a bank with predominantly domestic ownership.</w:t>
      </w:r>
    </w:p>
    <w:p w:rsidR="00205612" w:rsidRPr="008F15BB" w:rsidRDefault="00205612" w:rsidP="00205612">
      <w:pPr>
        <w:ind w:firstLine="720"/>
        <w:rPr>
          <w:rFonts w:cs="Tahoma"/>
        </w:rPr>
      </w:pPr>
    </w:p>
    <w:p w:rsidR="00205612" w:rsidRPr="008F15BB" w:rsidRDefault="00205612" w:rsidP="00205612">
      <w:pPr>
        <w:ind w:firstLine="720"/>
        <w:rPr>
          <w:rFonts w:cs="Tahoma"/>
        </w:rPr>
      </w:pPr>
      <w:r w:rsidRPr="008F15BB">
        <w:rPr>
          <w:rFonts w:cs="Tahoma"/>
        </w:rPr>
        <w:t>The individual market share (according to the assets) of banks that are mostly foreign owned ranges in the interval from 0.5% to 21.4%, while the total market share of these banks amounts to 68.3%.</w:t>
      </w: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Default="00205612" w:rsidP="00205612">
      <w:pPr>
        <w:rPr>
          <w:rFonts w:cs="Tahoma"/>
        </w:rPr>
      </w:pPr>
    </w:p>
    <w:p w:rsidR="00F96D08" w:rsidRDefault="00F96D08" w:rsidP="00205612">
      <w:pPr>
        <w:rPr>
          <w:rFonts w:cs="Tahoma"/>
        </w:rPr>
      </w:pPr>
    </w:p>
    <w:p w:rsidR="00F96D08" w:rsidRDefault="00F96D08" w:rsidP="00205612">
      <w:pPr>
        <w:rPr>
          <w:rFonts w:cs="Tahoma"/>
        </w:rPr>
      </w:pPr>
    </w:p>
    <w:p w:rsidR="00F96D08" w:rsidRDefault="00F96D08" w:rsidP="00205612">
      <w:pPr>
        <w:rPr>
          <w:rFonts w:cs="Tahoma"/>
        </w:rPr>
      </w:pPr>
    </w:p>
    <w:p w:rsidR="00F96D08" w:rsidRDefault="00F96D08" w:rsidP="00205612">
      <w:pPr>
        <w:rPr>
          <w:rFonts w:cs="Tahoma"/>
        </w:rPr>
      </w:pPr>
    </w:p>
    <w:p w:rsidR="00F96D08" w:rsidRDefault="00F96D08" w:rsidP="00205612">
      <w:pPr>
        <w:rPr>
          <w:rFonts w:cs="Tahoma"/>
        </w:rPr>
      </w:pPr>
    </w:p>
    <w:p w:rsidR="00F96D08" w:rsidRDefault="00F96D08" w:rsidP="00205612">
      <w:pPr>
        <w:rPr>
          <w:rFonts w:cs="Tahoma"/>
        </w:rPr>
      </w:pPr>
    </w:p>
    <w:p w:rsidR="00F96D08" w:rsidRDefault="00F96D08" w:rsidP="00205612">
      <w:pPr>
        <w:rPr>
          <w:rFonts w:cs="Tahoma"/>
        </w:rPr>
      </w:pPr>
    </w:p>
    <w:p w:rsidR="00F96D08" w:rsidRDefault="00F96D08" w:rsidP="00205612">
      <w:pPr>
        <w:rPr>
          <w:rFonts w:cs="Tahoma"/>
        </w:rPr>
      </w:pPr>
    </w:p>
    <w:p w:rsidR="00F96D08" w:rsidRDefault="00F96D08" w:rsidP="00205612">
      <w:pPr>
        <w:rPr>
          <w:rFonts w:cs="Tahoma"/>
        </w:rPr>
      </w:pPr>
    </w:p>
    <w:p w:rsidR="00F96D08" w:rsidRDefault="00F96D08" w:rsidP="00205612">
      <w:pPr>
        <w:rPr>
          <w:rFonts w:cs="Tahoma"/>
        </w:rPr>
      </w:pPr>
    </w:p>
    <w:p w:rsidR="00F96D08" w:rsidRDefault="00F96D08" w:rsidP="00205612">
      <w:pPr>
        <w:rPr>
          <w:rFonts w:cs="Tahoma"/>
        </w:rPr>
      </w:pPr>
    </w:p>
    <w:p w:rsidR="00F96D08" w:rsidRDefault="00F96D08" w:rsidP="00205612">
      <w:pPr>
        <w:rPr>
          <w:rFonts w:cs="Tahoma"/>
        </w:rPr>
      </w:pPr>
    </w:p>
    <w:p w:rsidR="00F96D08" w:rsidRDefault="00F96D08" w:rsidP="00205612">
      <w:pPr>
        <w:rPr>
          <w:rFonts w:cs="Tahoma"/>
        </w:rPr>
      </w:pPr>
    </w:p>
    <w:p w:rsidR="00F96D08" w:rsidRPr="008F15BB" w:rsidRDefault="00F96D08" w:rsidP="00205612">
      <w:pPr>
        <w:rPr>
          <w:rFonts w:cs="Tahoma"/>
        </w:rPr>
      </w:pPr>
    </w:p>
    <w:p w:rsidR="00205612" w:rsidRPr="008F15BB" w:rsidRDefault="00205612" w:rsidP="00205612">
      <w:pPr>
        <w:rPr>
          <w:rFonts w:cs="Tahoma"/>
        </w:rPr>
      </w:pPr>
    </w:p>
    <w:p w:rsidR="00205612" w:rsidRPr="008F15BB" w:rsidRDefault="00803610" w:rsidP="00205612">
      <w:pPr>
        <w:ind w:firstLine="720"/>
        <w:rPr>
          <w:rFonts w:cs="Tahoma"/>
        </w:rPr>
      </w:pPr>
      <w:r>
        <w:rPr>
          <w:rFonts w:cs="Tahoma"/>
          <w:noProof/>
        </w:rPr>
        <w:lastRenderedPageBreak/>
        <w:pict>
          <v:shape id="_x0000_s1224" type="#_x0000_t202" style="position:absolute;left:0;text-align:left;margin-left:-224.25pt;margin-top:-2.85pt;width:221.6pt;height:224.5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" stroked="f">
            <v:textbox style="mso-next-textbox:#_x0000_s1224">
              <w:txbxContent>
                <w:p w:rsidR="00280598" w:rsidRDefault="00280598" w:rsidP="00875109">
                  <w:pPr>
                    <w:pStyle w:val="Caption"/>
                  </w:pPr>
                  <w:r>
                    <w:t>Chart</w:t>
                  </w:r>
                  <w:r w:rsidRPr="00E8302F">
                    <w:t xml:space="preserve"> </w:t>
                  </w:r>
                  <w:fldSimple w:instr=" SEQ Графикон_бр. \* ARABIC ">
                    <w:r>
                      <w:rPr>
                        <w:noProof/>
                      </w:rPr>
                      <w:t>74</w:t>
                    </w:r>
                  </w:fldSimple>
                </w:p>
                <w:p w:rsidR="00280598" w:rsidRPr="008F15BB" w:rsidRDefault="00280598" w:rsidP="00205612">
                  <w:pPr>
                    <w:pStyle w:val="Caption"/>
                    <w:rPr>
                      <w:b w:val="0"/>
                      <w:szCs w:val="20"/>
                    </w:rPr>
                  </w:pPr>
                  <w:r w:rsidRPr="008F15BB">
                    <w:rPr>
                      <w:szCs w:val="20"/>
                    </w:rPr>
                    <w:t>Foreign bank subsidiaries' share of assets in total assets</w:t>
                  </w:r>
                </w:p>
                <w:p w:rsidR="00280598" w:rsidRPr="009A309E" w:rsidRDefault="00280598" w:rsidP="00205612">
                  <w:pPr>
                    <w:rPr>
                      <w:sz w:val="18"/>
                      <w:szCs w:val="18"/>
                    </w:rPr>
                  </w:pPr>
                  <w:r>
                    <w:rPr>
                      <w:sz w:val="18"/>
                      <w:szCs w:val="18"/>
                    </w:rPr>
                    <w:t>in %</w:t>
                  </w:r>
                </w:p>
                <w:p w:rsidR="00280598" w:rsidRPr="00DC0F90" w:rsidRDefault="00280598" w:rsidP="00205612">
                  <w:pPr>
                    <w:pStyle w:val="Caption"/>
                    <w:rPr>
                      <w:b w:val="0"/>
                      <w:lang w:val="mk-MK"/>
                    </w:rPr>
                  </w:pPr>
                  <w:r w:rsidRPr="00670362">
                    <w:rPr>
                      <w:noProof/>
                    </w:rPr>
                    <w:drawing>
                      <wp:inline distT="0" distB="0" distL="0" distR="0">
                        <wp:extent cx="2546046" cy="1993178"/>
                        <wp:effectExtent l="19050" t="0" r="6654" b="0"/>
                        <wp:docPr id="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srcRect/>
                                <a:stretch>
                                  <a:fillRect/>
                                </a:stretch>
                              </pic:blipFill>
                              <pic:spPr bwMode="auto">
                                <a:xfrm>
                                  <a:off x="0" y="0"/>
                                  <a:ext cx="2548667" cy="1995230"/>
                                </a:xfrm>
                                <a:prstGeom prst="rect">
                                  <a:avLst/>
                                </a:prstGeom>
                                <a:noFill/>
                                <a:ln w="9525">
                                  <a:noFill/>
                                  <a:miter lim="800000"/>
                                  <a:headEnd/>
                                  <a:tailEnd/>
                                </a:ln>
                              </pic:spPr>
                            </pic:pic>
                          </a:graphicData>
                        </a:graphic>
                      </wp:inline>
                    </w:drawing>
                  </w:r>
                </w:p>
                <w:p w:rsidR="00280598" w:rsidRPr="00F96D08" w:rsidRDefault="00280598" w:rsidP="00205612">
                  <w:r>
                    <w:rPr>
                      <w:sz w:val="18"/>
                      <w:szCs w:val="18"/>
                    </w:rPr>
                    <w:t>Source</w:t>
                  </w:r>
                  <w:r w:rsidRPr="00A72927">
                    <w:rPr>
                      <w:sz w:val="18"/>
                      <w:szCs w:val="18"/>
                      <w:lang w:val="mk-MK"/>
                    </w:rPr>
                    <w:t>:</w:t>
                  </w:r>
                  <w:r w:rsidRPr="00A72927">
                    <w:rPr>
                      <w:rFonts w:cs="Tahoma"/>
                      <w:sz w:val="18"/>
                      <w:szCs w:val="18"/>
                      <w:lang w:val="mk-MK"/>
                    </w:rPr>
                    <w:t xml:space="preserve"> </w:t>
                  </w:r>
                  <w:r>
                    <w:rPr>
                      <w:rFonts w:cs="Tahoma"/>
                      <w:sz w:val="18"/>
                      <w:szCs w:val="18"/>
                    </w:rPr>
                    <w:t>NBRM</w:t>
                  </w:r>
                  <w:r w:rsidRPr="00A72927">
                    <w:rPr>
                      <w:rFonts w:cs="Tahoma"/>
                      <w:sz w:val="18"/>
                      <w:szCs w:val="18"/>
                      <w:lang w:val="mk-MK"/>
                    </w:rPr>
                    <w:t xml:space="preserve">, </w:t>
                  </w:r>
                  <w:r>
                    <w:rPr>
                      <w:rFonts w:cs="Tahoma"/>
                      <w:sz w:val="18"/>
                      <w:szCs w:val="18"/>
                    </w:rPr>
                    <w:t>based on data submitted by banks.</w:t>
                  </w:r>
                </w:p>
                <w:p w:rsidR="00280598" w:rsidRDefault="00280598" w:rsidP="00205612"/>
                <w:p w:rsidR="00280598" w:rsidRPr="00EE26CC" w:rsidRDefault="00280598" w:rsidP="00205612"/>
                <w:p w:rsidR="00280598" w:rsidRDefault="00280598" w:rsidP="00205612">
                  <w:pPr>
                    <w:pStyle w:val="Caption"/>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Pr="008476D5" w:rsidRDefault="00280598" w:rsidP="00205612">
                  <w:pPr>
                    <w:rPr>
                      <w:sz w:val="20"/>
                      <w:szCs w:val="20"/>
                      <w:lang w:val="mk-MK"/>
                    </w:rPr>
                  </w:pPr>
                  <w:r w:rsidRPr="008476D5">
                    <w:rPr>
                      <w:sz w:val="20"/>
                      <w:szCs w:val="20"/>
                      <w:lang w:val="mk-MK"/>
                    </w:rPr>
                    <w:t>Извор:</w:t>
                  </w:r>
                </w:p>
              </w:txbxContent>
            </v:textbox>
            <w10:wrap type="square"/>
          </v:shape>
        </w:pict>
      </w:r>
      <w:r w:rsidR="00205612" w:rsidRPr="008F15BB">
        <w:rPr>
          <w:rFonts w:cs="Tahoma"/>
        </w:rPr>
        <w:t>The number of branches of foreign banks is unchanged relative to December 31, 2012 and amounts to seven. Their share in the total assets of the banking system accounts for 58.8% and is slightly lower (by 0.5 percentage points) compared to 2012.</w:t>
      </w: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rPr>
          <w:rFonts w:cs="Tahoma"/>
        </w:rPr>
      </w:pPr>
    </w:p>
    <w:p w:rsidR="00205612" w:rsidRDefault="00205612" w:rsidP="00205612">
      <w:pPr>
        <w:rPr>
          <w:rFonts w:cs="Tahoma"/>
        </w:rPr>
      </w:pPr>
    </w:p>
    <w:p w:rsidR="00205612" w:rsidRDefault="00205612" w:rsidP="00205612">
      <w:pPr>
        <w:rPr>
          <w:rFonts w:cs="Tahoma"/>
        </w:rPr>
      </w:pPr>
    </w:p>
    <w:p w:rsidR="00205612" w:rsidRDefault="00205612" w:rsidP="00205612">
      <w:pPr>
        <w:rPr>
          <w:rFonts w:cs="Tahoma"/>
        </w:rPr>
      </w:pPr>
    </w:p>
    <w:p w:rsidR="00F96D08" w:rsidRDefault="00F96D08" w:rsidP="00205612">
      <w:pPr>
        <w:rPr>
          <w:rFonts w:cs="Tahoma"/>
        </w:rPr>
      </w:pPr>
    </w:p>
    <w:p w:rsidR="00F96D08" w:rsidRPr="008F15BB" w:rsidRDefault="00803610" w:rsidP="00205612">
      <w:pPr>
        <w:rPr>
          <w:rFonts w:cs="Tahoma"/>
        </w:rPr>
      </w:pPr>
      <w:r>
        <w:rPr>
          <w:rFonts w:cs="Tahoma"/>
          <w:noProof/>
        </w:rPr>
        <w:pict>
          <v:shape id="_x0000_s1225" type="#_x0000_t202" style="position:absolute;left:0;text-align:left;margin-left:-224.25pt;margin-top:4.7pt;width:221.6pt;height:190.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" stroked="f">
            <v:textbox style="mso-next-textbox:#_x0000_s1225">
              <w:txbxContent>
                <w:p w:rsidR="00280598" w:rsidRDefault="00280598" w:rsidP="00875109">
                  <w:pPr>
                    <w:pStyle w:val="Caption"/>
                  </w:pPr>
                  <w:r>
                    <w:t>Chart</w:t>
                  </w:r>
                  <w:r w:rsidRPr="00E8302F">
                    <w:t xml:space="preserve"> </w:t>
                  </w:r>
                  <w:fldSimple w:instr=" SEQ Графикон_бр. \* ARABIC ">
                    <w:r>
                      <w:rPr>
                        <w:noProof/>
                      </w:rPr>
                      <w:t>75</w:t>
                    </w:r>
                  </w:fldSimple>
                </w:p>
                <w:p w:rsidR="00280598" w:rsidRPr="008F15BB" w:rsidRDefault="00280598" w:rsidP="00205612">
                  <w:pPr>
                    <w:pStyle w:val="Caption"/>
                    <w:rPr>
                      <w:b w:val="0"/>
                      <w:szCs w:val="20"/>
                    </w:rPr>
                  </w:pPr>
                  <w:r w:rsidRPr="008F15BB">
                    <w:rPr>
                      <w:szCs w:val="20"/>
                    </w:rPr>
                    <w:t>Banks' equity structure, by country</w:t>
                  </w:r>
                </w:p>
                <w:p w:rsidR="00280598" w:rsidRPr="009A309E" w:rsidRDefault="00280598" w:rsidP="00205612">
                  <w:pPr>
                    <w:rPr>
                      <w:sz w:val="18"/>
                      <w:szCs w:val="18"/>
                    </w:rPr>
                  </w:pPr>
                  <w:r>
                    <w:rPr>
                      <w:sz w:val="18"/>
                      <w:szCs w:val="18"/>
                    </w:rPr>
                    <w:t>in %</w:t>
                  </w:r>
                </w:p>
                <w:p w:rsidR="00280598" w:rsidRPr="00DC0F90" w:rsidRDefault="00280598" w:rsidP="00205612">
                  <w:pPr>
                    <w:pStyle w:val="Caption"/>
                    <w:rPr>
                      <w:b w:val="0"/>
                      <w:lang w:val="mk-MK"/>
                    </w:rPr>
                  </w:pPr>
                  <w:r w:rsidRPr="00670362">
                    <w:rPr>
                      <w:noProof/>
                    </w:rPr>
                    <w:drawing>
                      <wp:inline distT="0" distB="0" distL="0" distR="0">
                        <wp:extent cx="2575049" cy="1725433"/>
                        <wp:effectExtent l="19050" t="0" r="0" b="0"/>
                        <wp:docPr id="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srcRect/>
                                <a:stretch>
                                  <a:fillRect/>
                                </a:stretch>
                              </pic:blipFill>
                              <pic:spPr bwMode="auto">
                                <a:xfrm>
                                  <a:off x="0" y="0"/>
                                  <a:ext cx="2583683" cy="1731219"/>
                                </a:xfrm>
                                <a:prstGeom prst="rect">
                                  <a:avLst/>
                                </a:prstGeom>
                                <a:noFill/>
                                <a:ln w="9525">
                                  <a:noFill/>
                                  <a:miter lim="800000"/>
                                  <a:headEnd/>
                                  <a:tailEnd/>
                                </a:ln>
                              </pic:spPr>
                            </pic:pic>
                          </a:graphicData>
                        </a:graphic>
                      </wp:inline>
                    </w:drawing>
                  </w:r>
                </w:p>
                <w:p w:rsidR="00280598" w:rsidRDefault="00280598" w:rsidP="00205612">
                  <w:r>
                    <w:rPr>
                      <w:sz w:val="18"/>
                      <w:szCs w:val="18"/>
                    </w:rPr>
                    <w:t>Source</w:t>
                  </w:r>
                  <w:r w:rsidRPr="00A72927">
                    <w:rPr>
                      <w:sz w:val="18"/>
                      <w:szCs w:val="18"/>
                      <w:lang w:val="mk-MK"/>
                    </w:rPr>
                    <w:t>:</w:t>
                  </w:r>
                  <w:r w:rsidRPr="00A72927">
                    <w:rPr>
                      <w:rFonts w:cs="Tahoma"/>
                      <w:sz w:val="18"/>
                      <w:szCs w:val="18"/>
                      <w:lang w:val="mk-MK"/>
                    </w:rPr>
                    <w:t xml:space="preserve"> </w:t>
                  </w:r>
                  <w:r>
                    <w:rPr>
                      <w:rFonts w:cs="Tahoma"/>
                      <w:sz w:val="18"/>
                      <w:szCs w:val="18"/>
                    </w:rPr>
                    <w:t>NBRM</w:t>
                  </w:r>
                  <w:r w:rsidRPr="00A72927">
                    <w:rPr>
                      <w:rFonts w:cs="Tahoma"/>
                      <w:sz w:val="18"/>
                      <w:szCs w:val="18"/>
                      <w:lang w:val="mk-MK"/>
                    </w:rPr>
                    <w:t xml:space="preserve">, </w:t>
                  </w:r>
                  <w:r>
                    <w:rPr>
                      <w:rFonts w:cs="Tahoma"/>
                      <w:sz w:val="18"/>
                      <w:szCs w:val="18"/>
                    </w:rPr>
                    <w:t>based on data submitted by banks.</w:t>
                  </w:r>
                </w:p>
                <w:p w:rsidR="00280598" w:rsidRPr="00EE26CC" w:rsidRDefault="00280598" w:rsidP="00205612"/>
                <w:p w:rsidR="00280598" w:rsidRDefault="00280598" w:rsidP="00205612">
                  <w:pPr>
                    <w:pStyle w:val="Caption"/>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Pr="008476D5" w:rsidRDefault="00280598" w:rsidP="00205612">
                  <w:pPr>
                    <w:rPr>
                      <w:sz w:val="20"/>
                      <w:szCs w:val="20"/>
                      <w:lang w:val="mk-MK"/>
                    </w:rPr>
                  </w:pPr>
                  <w:r w:rsidRPr="008476D5">
                    <w:rPr>
                      <w:sz w:val="20"/>
                      <w:szCs w:val="20"/>
                      <w:lang w:val="mk-MK"/>
                    </w:rPr>
                    <w:t>Извор:</w:t>
                  </w:r>
                </w:p>
              </w:txbxContent>
            </v:textbox>
            <w10:wrap type="square"/>
          </v:shape>
        </w:pict>
      </w:r>
    </w:p>
    <w:p w:rsidR="00205612" w:rsidRPr="008F15BB" w:rsidRDefault="00205612" w:rsidP="00205612">
      <w:pPr>
        <w:ind w:firstLine="720"/>
        <w:rPr>
          <w:rFonts w:cs="Tahoma"/>
        </w:rPr>
      </w:pPr>
      <w:r w:rsidRPr="008F15BB">
        <w:rPr>
          <w:rFonts w:cs="Tahoma"/>
        </w:rPr>
        <w:t>Capital owned by shareholders of the European Union Member States has the largest share in the total foreign capital and accounts for 71.8%. This share remained unchanged compared with the previous year, but certain changes are registered in the overall structure of foreign capital. The share of the capital originating from Austria fell by 2.1 percentage points, while the share of the capital from Turkey and Slovenia increased by 0.9 and 0.8 percentage points, respectively. Changes in the share of the capital from other countries are smaller.</w:t>
      </w:r>
    </w:p>
    <w:p w:rsidR="00205612" w:rsidRPr="008F15BB" w:rsidRDefault="00205612" w:rsidP="00205612">
      <w:pPr>
        <w:ind w:firstLine="720"/>
        <w:rPr>
          <w:rFonts w:cs="Tahoma"/>
        </w:rPr>
      </w:pPr>
    </w:p>
    <w:p w:rsidR="00205612" w:rsidRPr="008F15BB" w:rsidRDefault="00803610" w:rsidP="00205612">
      <w:pPr>
        <w:ind w:firstLine="720"/>
        <w:rPr>
          <w:rFonts w:cs="Tahoma"/>
        </w:rPr>
      </w:pPr>
      <w:r>
        <w:rPr>
          <w:rFonts w:cs="Tahoma"/>
          <w:noProof/>
        </w:rPr>
        <w:pict>
          <v:shape id="_x0000_s1226" type="#_x0000_t202" style="position:absolute;left:0;text-align:left;margin-left:-224.25pt;margin-top:-.2pt;width:221.6pt;height:207.7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" stroked="f">
            <v:textbox style="mso-next-textbox:#_x0000_s1226">
              <w:txbxContent>
                <w:p w:rsidR="00280598" w:rsidRDefault="00280598" w:rsidP="00875109">
                  <w:pPr>
                    <w:pStyle w:val="Caption"/>
                  </w:pPr>
                  <w:r>
                    <w:t>Chart</w:t>
                  </w:r>
                  <w:r w:rsidRPr="00E8302F">
                    <w:t xml:space="preserve"> </w:t>
                  </w:r>
                  <w:fldSimple w:instr=" SEQ Графикон_бр. \* ARABIC ">
                    <w:r>
                      <w:rPr>
                        <w:noProof/>
                      </w:rPr>
                      <w:t>76</w:t>
                    </w:r>
                  </w:fldSimple>
                </w:p>
                <w:p w:rsidR="00280598" w:rsidRPr="008F15BB" w:rsidRDefault="00280598" w:rsidP="00205612">
                  <w:pPr>
                    <w:rPr>
                      <w:b/>
                      <w:bCs/>
                      <w:sz w:val="20"/>
                      <w:szCs w:val="20"/>
                    </w:rPr>
                  </w:pPr>
                  <w:r w:rsidRPr="008F15BB">
                    <w:rPr>
                      <w:b/>
                      <w:bCs/>
                      <w:sz w:val="20"/>
                      <w:szCs w:val="20"/>
                    </w:rPr>
                    <w:t xml:space="preserve">Market share (assets) of banks, by domicile country of the major shareholder </w:t>
                  </w:r>
                </w:p>
                <w:p w:rsidR="00280598" w:rsidRPr="009A309E" w:rsidRDefault="00280598" w:rsidP="00205612">
                  <w:pPr>
                    <w:rPr>
                      <w:sz w:val="18"/>
                      <w:szCs w:val="18"/>
                    </w:rPr>
                  </w:pPr>
                  <w:r>
                    <w:rPr>
                      <w:sz w:val="18"/>
                      <w:szCs w:val="18"/>
                    </w:rPr>
                    <w:t>in %</w:t>
                  </w:r>
                </w:p>
                <w:p w:rsidR="00280598" w:rsidRPr="00DC0F90" w:rsidRDefault="00280598" w:rsidP="00205612">
                  <w:pPr>
                    <w:pStyle w:val="Caption"/>
                    <w:rPr>
                      <w:b w:val="0"/>
                      <w:lang w:val="mk-MK"/>
                    </w:rPr>
                  </w:pPr>
                  <w:r w:rsidRPr="00670362">
                    <w:rPr>
                      <w:noProof/>
                    </w:rPr>
                    <w:drawing>
                      <wp:inline distT="0" distB="0" distL="0" distR="0">
                        <wp:extent cx="2549221" cy="1611188"/>
                        <wp:effectExtent l="19050" t="0" r="3479" b="0"/>
                        <wp:docPr id="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srcRect/>
                                <a:stretch>
                                  <a:fillRect/>
                                </a:stretch>
                              </pic:blipFill>
                              <pic:spPr bwMode="auto">
                                <a:xfrm>
                                  <a:off x="0" y="0"/>
                                  <a:ext cx="2551845" cy="1612847"/>
                                </a:xfrm>
                                <a:prstGeom prst="rect">
                                  <a:avLst/>
                                </a:prstGeom>
                                <a:noFill/>
                                <a:ln w="9525">
                                  <a:noFill/>
                                  <a:miter lim="800000"/>
                                  <a:headEnd/>
                                  <a:tailEnd/>
                                </a:ln>
                              </pic:spPr>
                            </pic:pic>
                          </a:graphicData>
                        </a:graphic>
                      </wp:inline>
                    </w:drawing>
                  </w:r>
                </w:p>
                <w:p w:rsidR="00280598" w:rsidRPr="00EE26CC" w:rsidRDefault="00280598" w:rsidP="00205612">
                  <w:r>
                    <w:rPr>
                      <w:sz w:val="18"/>
                      <w:szCs w:val="18"/>
                    </w:rPr>
                    <w:t>Source</w:t>
                  </w:r>
                  <w:r w:rsidRPr="00A72927">
                    <w:rPr>
                      <w:sz w:val="18"/>
                      <w:szCs w:val="18"/>
                      <w:lang w:val="mk-MK"/>
                    </w:rPr>
                    <w:t>:</w:t>
                  </w:r>
                  <w:r w:rsidRPr="00A72927">
                    <w:rPr>
                      <w:rFonts w:cs="Tahoma"/>
                      <w:sz w:val="18"/>
                      <w:szCs w:val="18"/>
                      <w:lang w:val="mk-MK"/>
                    </w:rPr>
                    <w:t xml:space="preserve"> </w:t>
                  </w:r>
                  <w:r>
                    <w:rPr>
                      <w:rFonts w:cs="Tahoma"/>
                      <w:sz w:val="18"/>
                      <w:szCs w:val="18"/>
                    </w:rPr>
                    <w:t>NBRM</w:t>
                  </w:r>
                  <w:r w:rsidRPr="00A72927">
                    <w:rPr>
                      <w:rFonts w:cs="Tahoma"/>
                      <w:sz w:val="18"/>
                      <w:szCs w:val="18"/>
                      <w:lang w:val="mk-MK"/>
                    </w:rPr>
                    <w:t xml:space="preserve">, </w:t>
                  </w:r>
                  <w:r>
                    <w:rPr>
                      <w:rFonts w:cs="Tahoma"/>
                      <w:sz w:val="18"/>
                      <w:szCs w:val="18"/>
                    </w:rPr>
                    <w:t>based on data submitted by banks.</w:t>
                  </w:r>
                </w:p>
                <w:p w:rsidR="00280598" w:rsidRDefault="00280598" w:rsidP="00205612">
                  <w:pPr>
                    <w:pStyle w:val="Caption"/>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Pr="008476D5" w:rsidRDefault="00280598" w:rsidP="00205612">
                  <w:pPr>
                    <w:rPr>
                      <w:sz w:val="20"/>
                      <w:szCs w:val="20"/>
                      <w:lang w:val="mk-MK"/>
                    </w:rPr>
                  </w:pPr>
                  <w:r w:rsidRPr="008476D5">
                    <w:rPr>
                      <w:sz w:val="20"/>
                      <w:szCs w:val="20"/>
                      <w:lang w:val="mk-MK"/>
                    </w:rPr>
                    <w:t>Извор:</w:t>
                  </w:r>
                </w:p>
              </w:txbxContent>
            </v:textbox>
            <w10:wrap type="square"/>
          </v:shape>
        </w:pict>
      </w: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Pr="008F15BB" w:rsidRDefault="00205612" w:rsidP="00205612">
      <w:pPr>
        <w:ind w:firstLine="720"/>
        <w:rPr>
          <w:rFonts w:cs="Tahoma"/>
        </w:rPr>
      </w:pPr>
    </w:p>
    <w:p w:rsidR="00205612" w:rsidRDefault="00205612" w:rsidP="00205612">
      <w:pPr>
        <w:rPr>
          <w:rFonts w:cs="Tahoma"/>
        </w:rPr>
      </w:pPr>
    </w:p>
    <w:p w:rsidR="00205612" w:rsidRDefault="00205612" w:rsidP="00205612">
      <w:pPr>
        <w:rPr>
          <w:rFonts w:cs="Tahoma"/>
        </w:rPr>
      </w:pPr>
    </w:p>
    <w:p w:rsidR="00205612" w:rsidRDefault="00205612" w:rsidP="00205612">
      <w:pPr>
        <w:rPr>
          <w:rFonts w:cs="Tahoma"/>
        </w:rPr>
      </w:pPr>
    </w:p>
    <w:p w:rsidR="00F96D08" w:rsidRDefault="00F96D08" w:rsidP="00205612">
      <w:pPr>
        <w:rPr>
          <w:rFonts w:cs="Tahoma"/>
        </w:rPr>
      </w:pPr>
    </w:p>
    <w:p w:rsidR="00F96D08" w:rsidRDefault="00F96D08" w:rsidP="00205612">
      <w:pPr>
        <w:rPr>
          <w:rFonts w:cs="Tahoma"/>
        </w:rPr>
      </w:pPr>
    </w:p>
    <w:p w:rsidR="00F96D08" w:rsidRDefault="00F96D08" w:rsidP="00205612">
      <w:pPr>
        <w:rPr>
          <w:rFonts w:cs="Tahoma"/>
        </w:rPr>
      </w:pPr>
    </w:p>
    <w:p w:rsidR="00F96D08" w:rsidRDefault="00F96D08" w:rsidP="00205612">
      <w:pPr>
        <w:rPr>
          <w:rFonts w:cs="Tahoma"/>
        </w:rPr>
      </w:pPr>
    </w:p>
    <w:p w:rsidR="00F96D08" w:rsidRDefault="00F96D08" w:rsidP="00205612">
      <w:pPr>
        <w:rPr>
          <w:rFonts w:cs="Tahoma"/>
        </w:rPr>
      </w:pPr>
    </w:p>
    <w:p w:rsidR="00205612" w:rsidRPr="008F15BB" w:rsidRDefault="00205612" w:rsidP="00132760">
      <w:pPr>
        <w:rPr>
          <w:rFonts w:cs="Tahoma"/>
        </w:rPr>
      </w:pPr>
    </w:p>
    <w:p w:rsidR="00205612" w:rsidRPr="008F15BB" w:rsidRDefault="00803610" w:rsidP="00205612">
      <w:pPr>
        <w:ind w:firstLine="720"/>
        <w:rPr>
          <w:rFonts w:cs="Tahoma"/>
        </w:rPr>
      </w:pPr>
      <w:r>
        <w:rPr>
          <w:rFonts w:cs="Tahoma"/>
          <w:noProof/>
        </w:rPr>
        <w:lastRenderedPageBreak/>
        <w:pict>
          <v:shape id="_x0000_s1227" type="#_x0000_t202" style="position:absolute;left:0;text-align:left;margin-left:-229.5pt;margin-top:-4.35pt;width:221.6pt;height:199.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" stroked="f">
            <v:textbox style="mso-next-textbox:#_x0000_s1227">
              <w:txbxContent>
                <w:p w:rsidR="00280598" w:rsidRDefault="00280598" w:rsidP="00875109">
                  <w:pPr>
                    <w:pStyle w:val="Caption"/>
                  </w:pPr>
                  <w:r>
                    <w:t>Chart</w:t>
                  </w:r>
                  <w:r w:rsidRPr="00E8302F">
                    <w:t xml:space="preserve"> </w:t>
                  </w:r>
                  <w:fldSimple w:instr=" SEQ Графикон_бр. \* ARABIC ">
                    <w:r>
                      <w:rPr>
                        <w:noProof/>
                      </w:rPr>
                      <w:t>77</w:t>
                    </w:r>
                  </w:fldSimple>
                </w:p>
                <w:p w:rsidR="00280598" w:rsidRPr="008F15BB" w:rsidRDefault="00280598" w:rsidP="00205612">
                  <w:pPr>
                    <w:rPr>
                      <w:b/>
                      <w:sz w:val="20"/>
                      <w:szCs w:val="20"/>
                    </w:rPr>
                  </w:pPr>
                  <w:r w:rsidRPr="008F15BB">
                    <w:rPr>
                      <w:b/>
                      <w:sz w:val="20"/>
                      <w:szCs w:val="20"/>
                    </w:rPr>
                    <w:t xml:space="preserve">Herfindahl index </w:t>
                  </w:r>
                </w:p>
                <w:p w:rsidR="00280598" w:rsidRPr="009A309E" w:rsidRDefault="00280598" w:rsidP="00205612">
                  <w:pPr>
                    <w:rPr>
                      <w:sz w:val="18"/>
                      <w:szCs w:val="18"/>
                    </w:rPr>
                  </w:pPr>
                  <w:r>
                    <w:rPr>
                      <w:sz w:val="18"/>
                      <w:szCs w:val="18"/>
                    </w:rPr>
                    <w:t>in  index points</w:t>
                  </w:r>
                </w:p>
                <w:p w:rsidR="00280598" w:rsidRPr="00DC0F90" w:rsidRDefault="00280598" w:rsidP="00205612">
                  <w:pPr>
                    <w:pStyle w:val="Caption"/>
                    <w:rPr>
                      <w:b w:val="0"/>
                      <w:lang w:val="mk-MK"/>
                    </w:rPr>
                  </w:pPr>
                  <w:r w:rsidRPr="00670362">
                    <w:rPr>
                      <w:noProof/>
                    </w:rPr>
                    <w:drawing>
                      <wp:inline distT="0" distB="0" distL="0" distR="0">
                        <wp:extent cx="2565124" cy="1828800"/>
                        <wp:effectExtent l="19050" t="0" r="6626" b="0"/>
                        <wp:docPr id="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srcRect/>
                                <a:stretch>
                                  <a:fillRect/>
                                </a:stretch>
                              </pic:blipFill>
                              <pic:spPr bwMode="auto">
                                <a:xfrm>
                                  <a:off x="0" y="0"/>
                                  <a:ext cx="2569085" cy="1831624"/>
                                </a:xfrm>
                                <a:prstGeom prst="rect">
                                  <a:avLst/>
                                </a:prstGeom>
                                <a:noFill/>
                                <a:ln w="9525">
                                  <a:noFill/>
                                  <a:miter lim="800000"/>
                                  <a:headEnd/>
                                  <a:tailEnd/>
                                </a:ln>
                              </pic:spPr>
                            </pic:pic>
                          </a:graphicData>
                        </a:graphic>
                      </wp:inline>
                    </w:drawing>
                  </w:r>
                </w:p>
                <w:p w:rsidR="00280598" w:rsidRPr="00EE26CC" w:rsidRDefault="00280598" w:rsidP="00205612">
                  <w:r>
                    <w:rPr>
                      <w:sz w:val="18"/>
                      <w:szCs w:val="18"/>
                    </w:rPr>
                    <w:t>Source</w:t>
                  </w:r>
                  <w:r w:rsidRPr="00A72927">
                    <w:rPr>
                      <w:sz w:val="18"/>
                      <w:szCs w:val="18"/>
                      <w:lang w:val="mk-MK"/>
                    </w:rPr>
                    <w:t>:</w:t>
                  </w:r>
                  <w:r w:rsidRPr="00A72927">
                    <w:rPr>
                      <w:rFonts w:cs="Tahoma"/>
                      <w:sz w:val="18"/>
                      <w:szCs w:val="18"/>
                      <w:lang w:val="mk-MK"/>
                    </w:rPr>
                    <w:t xml:space="preserve"> </w:t>
                  </w:r>
                  <w:r>
                    <w:rPr>
                      <w:rFonts w:cs="Tahoma"/>
                      <w:sz w:val="18"/>
                      <w:szCs w:val="18"/>
                    </w:rPr>
                    <w:t>NBRM</w:t>
                  </w:r>
                  <w:r w:rsidRPr="00A72927">
                    <w:rPr>
                      <w:rFonts w:cs="Tahoma"/>
                      <w:sz w:val="18"/>
                      <w:szCs w:val="18"/>
                      <w:lang w:val="mk-MK"/>
                    </w:rPr>
                    <w:t xml:space="preserve">, </w:t>
                  </w:r>
                  <w:r>
                    <w:rPr>
                      <w:rFonts w:cs="Tahoma"/>
                      <w:sz w:val="18"/>
                      <w:szCs w:val="18"/>
                    </w:rPr>
                    <w:t>based on data submitted by banks.</w:t>
                  </w:r>
                </w:p>
                <w:p w:rsidR="00280598" w:rsidRDefault="00280598" w:rsidP="00205612">
                  <w:pPr>
                    <w:pStyle w:val="Caption"/>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Pr="008476D5" w:rsidRDefault="00280598" w:rsidP="00205612">
                  <w:pPr>
                    <w:rPr>
                      <w:sz w:val="20"/>
                      <w:szCs w:val="20"/>
                      <w:lang w:val="mk-MK"/>
                    </w:rPr>
                  </w:pPr>
                  <w:r w:rsidRPr="008476D5">
                    <w:rPr>
                      <w:sz w:val="20"/>
                      <w:szCs w:val="20"/>
                      <w:lang w:val="mk-MK"/>
                    </w:rPr>
                    <w:t>Извор:</w:t>
                  </w:r>
                </w:p>
              </w:txbxContent>
            </v:textbox>
            <w10:wrap type="square"/>
          </v:shape>
        </w:pict>
      </w:r>
      <w:r w:rsidR="00205612" w:rsidRPr="008F15BB">
        <w:rPr>
          <w:rFonts w:cs="Tahoma"/>
        </w:rPr>
        <w:t>The concentration in the banking system is high, but downward in all segments of banking operations, except corporate deposits, whose concentration is variable. In the last four years, the Herfindahl index</w:t>
      </w:r>
      <w:r w:rsidR="00205612" w:rsidRPr="008F15BB">
        <w:rPr>
          <w:rStyle w:val="FootnoteReference"/>
          <w:rFonts w:cs="Tahoma"/>
        </w:rPr>
        <w:footnoteReference w:id="61"/>
      </w:r>
      <w:r w:rsidR="00205612" w:rsidRPr="008F15BB">
        <w:rPr>
          <w:rFonts w:cs="Tahoma"/>
        </w:rPr>
        <w:t xml:space="preserve"> for household loans and deposits registered a downward movement, but still the concentration in these categories is above the acceptable upper limit.</w:t>
      </w:r>
    </w:p>
    <w:p w:rsidR="00205612" w:rsidRPr="008F15BB" w:rsidRDefault="00205612" w:rsidP="00132760">
      <w:pPr>
        <w:rPr>
          <w:rFonts w:cs="Tahoma"/>
        </w:rPr>
      </w:pPr>
    </w:p>
    <w:p w:rsidR="00205612" w:rsidRPr="008F15BB" w:rsidRDefault="00803610" w:rsidP="00205612">
      <w:pPr>
        <w:ind w:firstLine="720"/>
        <w:rPr>
          <w:rFonts w:cs="Tahoma"/>
        </w:rPr>
      </w:pPr>
      <w:r>
        <w:rPr>
          <w:rFonts w:cs="Tahoma"/>
          <w:noProof/>
        </w:rPr>
        <w:pict>
          <v:shape id="_x0000_s1228" type="#_x0000_t202" style="position:absolute;left:0;text-align:left;margin-left:-228pt;margin-top:80.9pt;width:219pt;height:177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" stroked="f">
            <v:textbox style="mso-next-textbox:#_x0000_s1228">
              <w:txbxContent>
                <w:p w:rsidR="00280598" w:rsidRDefault="00280598" w:rsidP="00875109">
                  <w:pPr>
                    <w:pStyle w:val="Caption"/>
                  </w:pPr>
                  <w:r>
                    <w:t>Chart</w:t>
                  </w:r>
                  <w:r w:rsidRPr="00E8302F">
                    <w:t xml:space="preserve"> </w:t>
                  </w:r>
                  <w:fldSimple w:instr=" SEQ Графикон_бр. \* ARABIC ">
                    <w:r>
                      <w:rPr>
                        <w:noProof/>
                      </w:rPr>
                      <w:t>78</w:t>
                    </w:r>
                  </w:fldSimple>
                </w:p>
                <w:p w:rsidR="00280598" w:rsidRPr="008F15BB" w:rsidRDefault="00280598" w:rsidP="00205612">
                  <w:pPr>
                    <w:pStyle w:val="Caption"/>
                    <w:rPr>
                      <w:b w:val="0"/>
                      <w:szCs w:val="20"/>
                    </w:rPr>
                  </w:pPr>
                  <w:r w:rsidRPr="008F15BB">
                    <w:rPr>
                      <w:szCs w:val="20"/>
                    </w:rPr>
                    <w:t>Market share of banks to total asset of the banking system</w:t>
                  </w:r>
                </w:p>
                <w:p w:rsidR="00280598" w:rsidRPr="009A309E" w:rsidRDefault="00280598" w:rsidP="00205612">
                  <w:pPr>
                    <w:rPr>
                      <w:sz w:val="18"/>
                      <w:szCs w:val="18"/>
                    </w:rPr>
                  </w:pPr>
                  <w:r>
                    <w:rPr>
                      <w:sz w:val="18"/>
                      <w:szCs w:val="18"/>
                    </w:rPr>
                    <w:t>in  %</w:t>
                  </w:r>
                </w:p>
                <w:p w:rsidR="00280598" w:rsidRPr="00DC0F90" w:rsidRDefault="00280598" w:rsidP="00205612">
                  <w:pPr>
                    <w:pStyle w:val="Caption"/>
                    <w:rPr>
                      <w:b w:val="0"/>
                      <w:lang w:val="mk-MK"/>
                    </w:rPr>
                  </w:pPr>
                  <w:r w:rsidRPr="00026D18">
                    <w:rPr>
                      <w:noProof/>
                    </w:rPr>
                    <w:drawing>
                      <wp:inline distT="0" distB="0" distL="0" distR="0">
                        <wp:extent cx="2514241" cy="1381737"/>
                        <wp:effectExtent l="19050" t="0" r="359" b="0"/>
                        <wp:docPr id="1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a:srcRect/>
                                <a:stretch>
                                  <a:fillRect/>
                                </a:stretch>
                              </pic:blipFill>
                              <pic:spPr bwMode="auto">
                                <a:xfrm>
                                  <a:off x="0" y="0"/>
                                  <a:ext cx="2525428" cy="1387885"/>
                                </a:xfrm>
                                <a:prstGeom prst="rect">
                                  <a:avLst/>
                                </a:prstGeom>
                                <a:noFill/>
                                <a:ln w="9525">
                                  <a:noFill/>
                                  <a:miter lim="800000"/>
                                  <a:headEnd/>
                                  <a:tailEnd/>
                                </a:ln>
                              </pic:spPr>
                            </pic:pic>
                          </a:graphicData>
                        </a:graphic>
                      </wp:inline>
                    </w:drawing>
                  </w:r>
                </w:p>
                <w:p w:rsidR="00280598" w:rsidRPr="00132760" w:rsidRDefault="00280598" w:rsidP="00205612">
                  <w:r>
                    <w:rPr>
                      <w:sz w:val="18"/>
                      <w:szCs w:val="18"/>
                    </w:rPr>
                    <w:t>Source</w:t>
                  </w:r>
                  <w:r w:rsidRPr="00A72927">
                    <w:rPr>
                      <w:sz w:val="18"/>
                      <w:szCs w:val="18"/>
                      <w:lang w:val="mk-MK"/>
                    </w:rPr>
                    <w:t>:</w:t>
                  </w:r>
                  <w:r w:rsidRPr="00A72927">
                    <w:rPr>
                      <w:rFonts w:cs="Tahoma"/>
                      <w:sz w:val="18"/>
                      <w:szCs w:val="18"/>
                      <w:lang w:val="mk-MK"/>
                    </w:rPr>
                    <w:t xml:space="preserve"> </w:t>
                  </w:r>
                  <w:r>
                    <w:rPr>
                      <w:rFonts w:cs="Tahoma"/>
                      <w:sz w:val="18"/>
                      <w:szCs w:val="18"/>
                    </w:rPr>
                    <w:t>NBRM</w:t>
                  </w:r>
                  <w:r w:rsidRPr="00A72927">
                    <w:rPr>
                      <w:rFonts w:cs="Tahoma"/>
                      <w:sz w:val="18"/>
                      <w:szCs w:val="18"/>
                      <w:lang w:val="mk-MK"/>
                    </w:rPr>
                    <w:t xml:space="preserve">, </w:t>
                  </w:r>
                  <w:r>
                    <w:rPr>
                      <w:rFonts w:cs="Tahoma"/>
                      <w:sz w:val="18"/>
                      <w:szCs w:val="18"/>
                    </w:rPr>
                    <w:t>based on data submitted by banks.</w:t>
                  </w: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Default="00280598" w:rsidP="00205612">
                  <w:pPr>
                    <w:rPr>
                      <w:lang w:val="mk-MK"/>
                    </w:rPr>
                  </w:pPr>
                </w:p>
                <w:p w:rsidR="00280598" w:rsidRPr="008476D5" w:rsidRDefault="00280598" w:rsidP="00205612">
                  <w:pPr>
                    <w:rPr>
                      <w:sz w:val="20"/>
                      <w:szCs w:val="20"/>
                      <w:lang w:val="mk-MK"/>
                    </w:rPr>
                  </w:pPr>
                  <w:r w:rsidRPr="008476D5">
                    <w:rPr>
                      <w:sz w:val="20"/>
                      <w:szCs w:val="20"/>
                      <w:lang w:val="mk-MK"/>
                    </w:rPr>
                    <w:t>Извор:</w:t>
                  </w:r>
                </w:p>
              </w:txbxContent>
            </v:textbox>
            <w10:wrap type="square"/>
          </v:shape>
        </w:pict>
      </w:r>
      <w:r w:rsidR="00205612" w:rsidRPr="008F15BB">
        <w:rPr>
          <w:rFonts w:cs="Tahoma"/>
        </w:rPr>
        <w:t>Shares of individual banks, as well as of the three and five banks with largest assets in the total assets also indicate a high concentration in the banking system. Three banks account for 61.1% of the total assets, while nine banks constitute less than 4%. The share of the top three i.e. five banks slightly decreases in all segments of banking operations. Exceptions are the loans to households where the share of the five banks with most intensive lending activity toward this sector has registered a small increase of 0.7 percentage points. The reduction in the concentration is mainly a result of the faster growth of banks that follow after the three i.e. five banks with the largest share for each segment.</w:t>
      </w:r>
    </w:p>
    <w:p w:rsidR="00B56B61" w:rsidRPr="005F1ACB" w:rsidRDefault="00B56B61" w:rsidP="00B56B61">
      <w:pPr>
        <w:ind w:firstLine="706"/>
        <w:rPr>
          <w:rFonts w:cs="Tahoma"/>
          <w:bCs/>
          <w:lang w:val="en-GB"/>
        </w:rPr>
      </w:pPr>
    </w:p>
    <w:p w:rsidR="00B56B61" w:rsidRPr="005F1ACB" w:rsidRDefault="00B56B61" w:rsidP="00B56B61">
      <w:pPr>
        <w:ind w:firstLine="706"/>
        <w:rPr>
          <w:rFonts w:cs="Tahoma"/>
          <w:bCs/>
          <w:lang w:val="en-GB"/>
        </w:rPr>
      </w:pPr>
    </w:p>
    <w:p w:rsidR="009766A6" w:rsidRDefault="009766A6" w:rsidP="00C60FE4">
      <w:pPr>
        <w:rPr>
          <w:rFonts w:eastAsiaTheme="majorEastAsia" w:cstheme="majorBidi"/>
          <w:iCs/>
        </w:rPr>
      </w:pPr>
    </w:p>
    <w:p w:rsidR="009766A6" w:rsidRDefault="009766A6" w:rsidP="00C60FE4">
      <w:pPr>
        <w:rPr>
          <w:rFonts w:eastAsiaTheme="majorEastAsia" w:cstheme="majorBidi"/>
          <w:iCs/>
        </w:rPr>
      </w:pPr>
    </w:p>
    <w:p w:rsidR="009766A6" w:rsidRDefault="009766A6" w:rsidP="00C60FE4">
      <w:pPr>
        <w:rPr>
          <w:rFonts w:eastAsiaTheme="majorEastAsia" w:cstheme="majorBidi"/>
          <w:iCs/>
        </w:rPr>
      </w:pPr>
    </w:p>
    <w:p w:rsidR="009766A6" w:rsidRDefault="009766A6" w:rsidP="00C60FE4">
      <w:pPr>
        <w:rPr>
          <w:rFonts w:eastAsiaTheme="majorEastAsia" w:cstheme="majorBidi"/>
          <w:iCs/>
        </w:rPr>
      </w:pPr>
    </w:p>
    <w:p w:rsidR="009766A6" w:rsidRDefault="009766A6" w:rsidP="00C60FE4">
      <w:pPr>
        <w:rPr>
          <w:rFonts w:eastAsiaTheme="majorEastAsia" w:cstheme="majorBidi"/>
          <w:iCs/>
        </w:rPr>
      </w:pPr>
    </w:p>
    <w:p w:rsidR="009766A6" w:rsidRDefault="009766A6" w:rsidP="00C60FE4">
      <w:pPr>
        <w:rPr>
          <w:rFonts w:eastAsiaTheme="majorEastAsia" w:cstheme="majorBidi"/>
          <w:iCs/>
        </w:rPr>
      </w:pPr>
    </w:p>
    <w:p w:rsidR="009766A6" w:rsidRDefault="009766A6" w:rsidP="00C60FE4">
      <w:pPr>
        <w:rPr>
          <w:rFonts w:eastAsiaTheme="majorEastAsia" w:cstheme="majorBidi"/>
          <w:iCs/>
        </w:rPr>
      </w:pPr>
    </w:p>
    <w:p w:rsidR="009766A6" w:rsidRDefault="009766A6" w:rsidP="00C60FE4">
      <w:pPr>
        <w:rPr>
          <w:rFonts w:eastAsiaTheme="majorEastAsia" w:cstheme="majorBidi"/>
          <w:iCs/>
        </w:rPr>
      </w:pPr>
    </w:p>
    <w:p w:rsidR="009766A6" w:rsidRDefault="009766A6" w:rsidP="00C60FE4">
      <w:pPr>
        <w:rPr>
          <w:rFonts w:eastAsiaTheme="majorEastAsia" w:cstheme="majorBidi"/>
          <w:iCs/>
        </w:rPr>
      </w:pPr>
    </w:p>
    <w:p w:rsidR="007E3713" w:rsidRDefault="007E3713" w:rsidP="00C60FE4">
      <w:pPr>
        <w:rPr>
          <w:rFonts w:eastAsiaTheme="majorEastAsia" w:cstheme="majorBidi"/>
          <w:iCs/>
        </w:rPr>
      </w:pPr>
    </w:p>
    <w:p w:rsidR="007E3713" w:rsidRDefault="007E3713" w:rsidP="00C60FE4">
      <w:pPr>
        <w:rPr>
          <w:rFonts w:eastAsiaTheme="majorEastAsia" w:cstheme="majorBidi"/>
          <w:iCs/>
        </w:rPr>
      </w:pPr>
    </w:p>
    <w:p w:rsidR="007E3713" w:rsidRDefault="007E3713" w:rsidP="00C60FE4">
      <w:pPr>
        <w:rPr>
          <w:rFonts w:eastAsiaTheme="majorEastAsia" w:cstheme="majorBidi"/>
          <w:iCs/>
        </w:rPr>
      </w:pPr>
    </w:p>
    <w:p w:rsidR="007E3713" w:rsidRDefault="007E3713" w:rsidP="00C60FE4">
      <w:pPr>
        <w:rPr>
          <w:rFonts w:eastAsiaTheme="majorEastAsia" w:cstheme="majorBidi"/>
          <w:iCs/>
        </w:rPr>
      </w:pPr>
    </w:p>
    <w:p w:rsidR="009766A6" w:rsidRDefault="009766A6" w:rsidP="00C60FE4">
      <w:pPr>
        <w:rPr>
          <w:rFonts w:eastAsiaTheme="majorEastAsia" w:cstheme="majorBidi"/>
          <w:iCs/>
        </w:rPr>
      </w:pPr>
    </w:p>
    <w:p w:rsidR="007E3713" w:rsidRPr="007E3713" w:rsidRDefault="007E3713" w:rsidP="007E3713">
      <w:pPr>
        <w:pStyle w:val="Heading1"/>
        <w:rPr>
          <w:sz w:val="22"/>
          <w:szCs w:val="22"/>
        </w:rPr>
      </w:pPr>
      <w:bookmarkStart w:id="76" w:name="_Toc393283607"/>
      <w:r w:rsidRPr="007E3713">
        <w:rPr>
          <w:sz w:val="22"/>
          <w:szCs w:val="22"/>
        </w:rPr>
        <w:lastRenderedPageBreak/>
        <w:t>Bank activities</w:t>
      </w:r>
      <w:bookmarkEnd w:id="76"/>
    </w:p>
    <w:p w:rsidR="007E3713" w:rsidRPr="00BF7C7F" w:rsidRDefault="007E3713" w:rsidP="007E3713">
      <w:pPr>
        <w:ind w:left="-4536" w:firstLine="720"/>
        <w:rPr>
          <w:rFonts w:cs="Tahoma"/>
          <w:b/>
          <w:bCs/>
          <w:sz w:val="24"/>
          <w:szCs w:val="24"/>
        </w:rPr>
      </w:pPr>
    </w:p>
    <w:p w:rsidR="007E3713" w:rsidRPr="00106FDE" w:rsidRDefault="007E3713" w:rsidP="007E3713">
      <w:pPr>
        <w:ind w:left="-4536" w:firstLine="720"/>
        <w:rPr>
          <w:rFonts w:cs="Tahoma"/>
          <w:b/>
          <w:bCs/>
        </w:rPr>
      </w:pPr>
      <w:r w:rsidRPr="00106FDE">
        <w:rPr>
          <w:rFonts w:cs="Tahoma"/>
          <w:b/>
          <w:bCs/>
        </w:rPr>
        <w:t xml:space="preserve"> </w:t>
      </w:r>
      <w:bookmarkStart w:id="77" w:name="_Toc350954365"/>
      <w:bookmarkStart w:id="78" w:name="_Toc351029790"/>
      <w:bookmarkStart w:id="79" w:name="_Toc360003043"/>
      <w:r w:rsidRPr="00106FDE">
        <w:rPr>
          <w:rFonts w:cs="Tahoma"/>
          <w:b/>
          <w:bCs/>
        </w:rPr>
        <w:t>In 2013, the total assets of the banking system continued to grow but at a slower pace, which is evident from the slower growth in lending to the corporate sector. Deposit growth accelerated mainly as a result of household deposits and deposits in Denars. Banks are still increasingly interested in placing funds in low-risk liquid instruments, mainly government securities. However, in the last quarter of the year, lending accelerated significantly and was largely aimed at the corporate sector. These developments are a possible indication of a gradual stabilization of the banks' perceptions of risks, influenced by the positive performances in the domestic economy. In the next period it is expected that the economic recovery will further contribute to the growth of the banks' core deposits, and thus gradual strengthening of the lending activity aimed at the corporate sector. To this aim are also the macro-prudential measures and monetary measures of the National Bank, which are directed towards encouraging savings in domestic currency and in the long term, and lending, especially long-term lending, as well as inflows of foreign capital into the domestic economy. In 2013, liabilities on the basis of loans and deposits to financial institutions decreased, which in circumstances of rapid growth of deposits was the reason for the slower growth of assets. The denarization in banking activities continued, but at a slightly slower pace with assets compared to liabilities.</w:t>
      </w:r>
    </w:p>
    <w:p w:rsidR="007E3713" w:rsidRPr="00106FDE" w:rsidRDefault="00803610" w:rsidP="007E3713">
      <w:pPr>
        <w:rPr>
          <w:rFonts w:cs="Tahoma"/>
          <w:b/>
          <w:bCs/>
        </w:rPr>
      </w:pPr>
      <w:r>
        <w:rPr>
          <w:rFonts w:cs="Tahoma"/>
          <w:b/>
          <w:bCs/>
          <w:noProof/>
        </w:rPr>
        <w:pict>
          <v:shape id="_x0000_s1229" type="#_x0000_t202" style="position:absolute;left:0;text-align:left;margin-left:-227.45pt;margin-top:9.1pt;width:459.9pt;height:355.05pt;z-index:251750400;v-text-anchor:middle" stroked="f" strokecolor="black [3213]">
            <v:textbox style="mso-next-textbox:#_x0000_s1229" inset="0,0,0,0">
              <w:txbxContent>
                <w:p w:rsidR="00280598" w:rsidRPr="003567B3" w:rsidRDefault="00280598" w:rsidP="007E3713">
                  <w:pPr>
                    <w:pStyle w:val="Caption"/>
                    <w:rPr>
                      <w:rFonts w:cs="Tahoma"/>
                      <w:b w:val="0"/>
                      <w:lang w:val="mk-MK"/>
                    </w:rPr>
                  </w:pPr>
                  <w:r>
                    <w:rPr>
                      <w:rFonts w:cs="Tahoma"/>
                    </w:rPr>
                    <w:t>Table</w:t>
                  </w:r>
                  <w:r w:rsidRPr="003567B3">
                    <w:rPr>
                      <w:rFonts w:cs="Tahoma"/>
                    </w:rPr>
                    <w:t xml:space="preserve"> </w:t>
                  </w:r>
                  <w:r w:rsidR="00803610" w:rsidRPr="003567B3">
                    <w:rPr>
                      <w:rFonts w:cs="Tahoma"/>
                      <w:b w:val="0"/>
                    </w:rPr>
                    <w:fldChar w:fldCharType="begin"/>
                  </w:r>
                  <w:r w:rsidRPr="003567B3">
                    <w:rPr>
                      <w:rFonts w:cs="Tahoma"/>
                    </w:rPr>
                    <w:instrText xml:space="preserve"> SEQ Табела_бр. \* ARABIC </w:instrText>
                  </w:r>
                  <w:r w:rsidR="00803610" w:rsidRPr="003567B3">
                    <w:rPr>
                      <w:rFonts w:cs="Tahoma"/>
                      <w:b w:val="0"/>
                    </w:rPr>
                    <w:fldChar w:fldCharType="separate"/>
                  </w:r>
                  <w:r>
                    <w:rPr>
                      <w:rFonts w:cs="Tahoma"/>
                      <w:noProof/>
                    </w:rPr>
                    <w:t>5</w:t>
                  </w:r>
                  <w:r w:rsidR="00803610" w:rsidRPr="003567B3">
                    <w:rPr>
                      <w:rFonts w:cs="Tahoma"/>
                      <w:b w:val="0"/>
                    </w:rPr>
                    <w:fldChar w:fldCharType="end"/>
                  </w:r>
                </w:p>
                <w:p w:rsidR="00280598" w:rsidRPr="00B56457" w:rsidRDefault="00280598" w:rsidP="007E3713">
                  <w:pPr>
                    <w:pStyle w:val="Caption"/>
                    <w:rPr>
                      <w:rFonts w:cs="Tahoma"/>
                      <w:b w:val="0"/>
                    </w:rPr>
                  </w:pPr>
                  <w:r>
                    <w:rPr>
                      <w:rFonts w:cs="Tahoma"/>
                    </w:rPr>
                    <w:t>Structure of the assets and liabilities of the banking system</w:t>
                  </w:r>
                </w:p>
                <w:p w:rsidR="00280598" w:rsidRDefault="00280598" w:rsidP="007E3713">
                  <w:pPr>
                    <w:rPr>
                      <w:sz w:val="18"/>
                      <w:szCs w:val="18"/>
                      <w:lang w:val="mk-MK"/>
                    </w:rPr>
                  </w:pPr>
                  <w:r w:rsidRPr="00BB08D9">
                    <w:rPr>
                      <w:noProof/>
                    </w:rPr>
                    <w:drawing>
                      <wp:inline distT="0" distB="0" distL="0" distR="0">
                        <wp:extent cx="5833533" cy="3564467"/>
                        <wp:effectExtent l="0" t="0" r="0" b="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3533" cy="3564467"/>
                                </a:xfrm>
                                <a:prstGeom prst="rect">
                                  <a:avLst/>
                                </a:prstGeom>
                                <a:noFill/>
                                <a:ln>
                                  <a:noFill/>
                                </a:ln>
                              </pic:spPr>
                            </pic:pic>
                          </a:graphicData>
                        </a:graphic>
                      </wp:inline>
                    </w:drawing>
                  </w:r>
                </w:p>
                <w:p w:rsidR="00280598" w:rsidRDefault="00280598" w:rsidP="007E3713">
                  <w:pPr>
                    <w:rPr>
                      <w:rFonts w:cs="Tahoma"/>
                      <w:sz w:val="18"/>
                      <w:szCs w:val="18"/>
                      <w:lang w:val="mk-MK"/>
                    </w:rPr>
                  </w:pPr>
                  <w:r>
                    <w:rPr>
                      <w:sz w:val="18"/>
                      <w:szCs w:val="18"/>
                    </w:rPr>
                    <w:t>Source</w:t>
                  </w:r>
                  <w:r w:rsidRPr="00E8302F">
                    <w:rPr>
                      <w:sz w:val="18"/>
                      <w:szCs w:val="18"/>
                      <w:lang w:val="mk-MK"/>
                    </w:rPr>
                    <w:t>:</w:t>
                  </w:r>
                  <w:r w:rsidRPr="00E8302F">
                    <w:rPr>
                      <w:rFonts w:cs="Tahoma"/>
                      <w:sz w:val="18"/>
                      <w:szCs w:val="18"/>
                      <w:lang w:val="mk-MK"/>
                    </w:rPr>
                    <w:t xml:space="preserve"> </w:t>
                  </w:r>
                  <w:r>
                    <w:rPr>
                      <w:rFonts w:cs="Tahoma"/>
                      <w:sz w:val="18"/>
                      <w:szCs w:val="18"/>
                    </w:rPr>
                    <w:t>NBRM</w:t>
                  </w:r>
                  <w:r w:rsidRPr="00E8302F">
                    <w:rPr>
                      <w:rFonts w:cs="Tahoma"/>
                      <w:sz w:val="18"/>
                      <w:szCs w:val="18"/>
                      <w:lang w:val="mk-MK"/>
                    </w:rPr>
                    <w:t xml:space="preserve">, </w:t>
                  </w:r>
                  <w:r>
                    <w:rPr>
                      <w:rFonts w:cs="Tahoma"/>
                      <w:sz w:val="18"/>
                      <w:szCs w:val="18"/>
                    </w:rPr>
                    <w:t>based on the data submitted by banks</w:t>
                  </w:r>
                  <w:r>
                    <w:rPr>
                      <w:rFonts w:cs="Tahoma"/>
                      <w:sz w:val="18"/>
                      <w:szCs w:val="18"/>
                      <w:lang w:val="mk-MK"/>
                    </w:rPr>
                    <w:t>.</w:t>
                  </w:r>
                </w:p>
                <w:p w:rsidR="00280598" w:rsidRDefault="00280598" w:rsidP="007E3713">
                  <w:pPr>
                    <w:rPr>
                      <w:rFonts w:cs="Tahoma"/>
                      <w:sz w:val="18"/>
                      <w:szCs w:val="18"/>
                    </w:rPr>
                  </w:pPr>
                  <w:r>
                    <w:rPr>
                      <w:rFonts w:cs="Tahoma"/>
                      <w:sz w:val="18"/>
                      <w:szCs w:val="18"/>
                    </w:rPr>
                    <w:t xml:space="preserve">Note: The position “placements with banks “of annex </w:t>
                  </w:r>
                  <w:r>
                    <w:rPr>
                      <w:rFonts w:cs="Tahoma"/>
                      <w:sz w:val="18"/>
                      <w:szCs w:val="18"/>
                      <w:lang w:val="mk-MK"/>
                    </w:rPr>
                    <w:t xml:space="preserve">1, </w:t>
                  </w:r>
                  <w:r>
                    <w:rPr>
                      <w:rFonts w:cs="Tahoma"/>
                      <w:sz w:val="18"/>
                      <w:szCs w:val="18"/>
                    </w:rPr>
                    <w:t>is included in the position “Cash and balances with NBRM</w:t>
                  </w:r>
                  <w:r>
                    <w:rPr>
                      <w:rFonts w:cs="Tahoma"/>
                      <w:sz w:val="18"/>
                      <w:szCs w:val="18"/>
                      <w:lang w:val="mk-MK"/>
                    </w:rPr>
                    <w:t>“</w:t>
                  </w:r>
                  <w:r>
                    <w:rPr>
                      <w:rFonts w:cs="Tahoma"/>
                      <w:sz w:val="18"/>
                      <w:szCs w:val="18"/>
                    </w:rPr>
                    <w:t>in this table</w:t>
                  </w:r>
                  <w:r>
                    <w:rPr>
                      <w:rFonts w:cs="Tahoma"/>
                      <w:sz w:val="18"/>
                      <w:szCs w:val="18"/>
                      <w:lang w:val="mk-MK"/>
                    </w:rPr>
                    <w:t xml:space="preserve">. </w:t>
                  </w:r>
                  <w:r>
                    <w:rPr>
                      <w:rFonts w:cs="Tahoma"/>
                      <w:sz w:val="18"/>
                      <w:szCs w:val="18"/>
                    </w:rPr>
                    <w:t xml:space="preserve"> </w:t>
                  </w:r>
                </w:p>
                <w:p w:rsidR="00280598" w:rsidRPr="007E3713" w:rsidRDefault="00280598" w:rsidP="007E3713">
                  <w:pPr>
                    <w:rPr>
                      <w:sz w:val="18"/>
                      <w:szCs w:val="18"/>
                    </w:rPr>
                  </w:pPr>
                  <w:r>
                    <w:rPr>
                      <w:sz w:val="18"/>
                      <w:szCs w:val="18"/>
                    </w:rPr>
                    <w:t>The market share of the most significant balance sheet items by groups of banks is given in annex 5.</w:t>
                  </w: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Pr="008476D5" w:rsidRDefault="00280598" w:rsidP="007E3713">
                  <w:pPr>
                    <w:rPr>
                      <w:sz w:val="20"/>
                      <w:szCs w:val="20"/>
                      <w:lang w:val="mk-MK"/>
                    </w:rPr>
                  </w:pPr>
                </w:p>
              </w:txbxContent>
            </v:textbox>
          </v:shape>
        </w:pict>
      </w:r>
    </w:p>
    <w:p w:rsidR="007E3713" w:rsidRPr="00106FDE" w:rsidRDefault="007E3713" w:rsidP="007E3713">
      <w:pPr>
        <w:ind w:left="-4536" w:firstLine="720"/>
        <w:rPr>
          <w:rFonts w:cs="Tahoma"/>
          <w:b/>
          <w:bCs/>
        </w:rPr>
      </w:pPr>
    </w:p>
    <w:p w:rsidR="007E3713" w:rsidRPr="00106FDE" w:rsidRDefault="007E3713" w:rsidP="007E3713">
      <w:pPr>
        <w:ind w:left="-4536" w:firstLine="720"/>
        <w:rPr>
          <w:rFonts w:cs="Tahoma"/>
          <w:b/>
          <w:bCs/>
        </w:rPr>
      </w:pPr>
    </w:p>
    <w:p w:rsidR="007E3713" w:rsidRPr="00106FDE" w:rsidRDefault="007E3713" w:rsidP="007E3713">
      <w:pPr>
        <w:ind w:left="-4536" w:firstLine="720"/>
        <w:rPr>
          <w:rFonts w:cs="Tahoma"/>
          <w:b/>
          <w:bCs/>
        </w:rPr>
      </w:pPr>
    </w:p>
    <w:p w:rsidR="007E3713" w:rsidRPr="00106FDE" w:rsidRDefault="007E3713" w:rsidP="007E3713">
      <w:pPr>
        <w:ind w:left="-4536" w:firstLine="720"/>
        <w:rPr>
          <w:rFonts w:cs="Tahoma"/>
          <w:b/>
          <w:bCs/>
        </w:rPr>
      </w:pPr>
    </w:p>
    <w:p w:rsidR="007E3713" w:rsidRPr="00106FDE" w:rsidRDefault="007E3713" w:rsidP="007E3713">
      <w:pPr>
        <w:ind w:left="-4536" w:firstLine="720"/>
        <w:rPr>
          <w:rFonts w:cs="Tahoma"/>
          <w:b/>
          <w:bCs/>
        </w:rPr>
      </w:pPr>
    </w:p>
    <w:p w:rsidR="007E3713" w:rsidRPr="00106FDE" w:rsidRDefault="007E3713" w:rsidP="007E3713">
      <w:pPr>
        <w:ind w:left="-4536" w:firstLine="720"/>
        <w:rPr>
          <w:rFonts w:cs="Tahoma"/>
          <w:b/>
          <w:bCs/>
        </w:rPr>
      </w:pPr>
    </w:p>
    <w:p w:rsidR="007E3713" w:rsidRPr="00106FDE" w:rsidRDefault="007E3713" w:rsidP="007E3713">
      <w:pPr>
        <w:ind w:left="-4536" w:firstLine="720"/>
        <w:rPr>
          <w:rFonts w:cs="Tahoma"/>
          <w:b/>
          <w:bCs/>
        </w:rPr>
      </w:pPr>
    </w:p>
    <w:p w:rsidR="007E3713" w:rsidRPr="00106FDE" w:rsidRDefault="007E3713" w:rsidP="007E3713">
      <w:pPr>
        <w:ind w:left="-4536" w:firstLine="720"/>
        <w:rPr>
          <w:rFonts w:cs="Tahoma"/>
          <w:b/>
          <w:bCs/>
        </w:rPr>
      </w:pPr>
    </w:p>
    <w:p w:rsidR="007E3713" w:rsidRPr="00106FDE" w:rsidRDefault="007E3713" w:rsidP="007E3713">
      <w:pPr>
        <w:ind w:left="-4536" w:firstLine="720"/>
        <w:rPr>
          <w:rFonts w:cs="Tahoma"/>
          <w:b/>
          <w:bCs/>
        </w:rPr>
      </w:pPr>
    </w:p>
    <w:p w:rsidR="007E3713" w:rsidRPr="00106FDE" w:rsidRDefault="007E3713" w:rsidP="007E3713">
      <w:pPr>
        <w:ind w:left="-4536" w:firstLine="720"/>
        <w:rPr>
          <w:rFonts w:cs="Tahoma"/>
          <w:b/>
          <w:bCs/>
        </w:rPr>
      </w:pPr>
    </w:p>
    <w:p w:rsidR="007E3713" w:rsidRPr="00106FDE" w:rsidRDefault="007E3713" w:rsidP="007E3713">
      <w:pPr>
        <w:ind w:left="-4536" w:firstLine="720"/>
        <w:rPr>
          <w:rFonts w:cs="Tahoma"/>
          <w:b/>
          <w:bCs/>
        </w:rPr>
      </w:pPr>
    </w:p>
    <w:p w:rsidR="007E3713" w:rsidRPr="00106FDE" w:rsidRDefault="007E3713" w:rsidP="007E3713">
      <w:pPr>
        <w:ind w:left="-4536" w:firstLine="720"/>
        <w:rPr>
          <w:rFonts w:cs="Tahoma"/>
          <w:b/>
          <w:bCs/>
        </w:rPr>
      </w:pPr>
    </w:p>
    <w:p w:rsidR="007E3713" w:rsidRPr="00106FDE" w:rsidRDefault="007E3713" w:rsidP="007E3713">
      <w:pPr>
        <w:ind w:left="-4536" w:firstLine="720"/>
        <w:rPr>
          <w:rFonts w:cs="Tahoma"/>
          <w:b/>
          <w:bCs/>
        </w:rPr>
      </w:pPr>
    </w:p>
    <w:p w:rsidR="007E3713" w:rsidRPr="00106FDE" w:rsidRDefault="007E3713" w:rsidP="007E3713">
      <w:pPr>
        <w:ind w:left="-4536" w:firstLine="720"/>
        <w:rPr>
          <w:rFonts w:cs="Tahoma"/>
          <w:b/>
          <w:bCs/>
        </w:rPr>
      </w:pPr>
    </w:p>
    <w:p w:rsidR="007E3713" w:rsidRPr="00106FDE" w:rsidRDefault="007E3713" w:rsidP="007E3713">
      <w:pPr>
        <w:ind w:left="-4536" w:firstLine="720"/>
        <w:rPr>
          <w:rFonts w:cs="Tahoma"/>
          <w:b/>
          <w:bCs/>
        </w:rPr>
      </w:pPr>
    </w:p>
    <w:p w:rsidR="007E3713" w:rsidRPr="00106FDE" w:rsidRDefault="007E3713" w:rsidP="007E3713">
      <w:pPr>
        <w:rPr>
          <w:rFonts w:cs="Tahoma"/>
          <w:b/>
          <w:bCs/>
        </w:rPr>
      </w:pPr>
    </w:p>
    <w:p w:rsidR="007E3713" w:rsidRPr="00106FDE" w:rsidRDefault="007E3713" w:rsidP="007E3713">
      <w:pPr>
        <w:ind w:left="-4536" w:firstLine="720"/>
        <w:rPr>
          <w:rFonts w:cs="Tahoma"/>
          <w:b/>
          <w:bCs/>
        </w:rPr>
      </w:pPr>
    </w:p>
    <w:p w:rsidR="007E3713" w:rsidRPr="00106FDE" w:rsidRDefault="007E3713" w:rsidP="007E3713">
      <w:pPr>
        <w:ind w:left="-4536" w:firstLine="720"/>
        <w:rPr>
          <w:rFonts w:cs="Tahoma"/>
          <w:bCs/>
        </w:rPr>
      </w:pPr>
    </w:p>
    <w:p w:rsidR="007E3713" w:rsidRPr="00106FDE" w:rsidRDefault="007E3713" w:rsidP="007E3713">
      <w:pPr>
        <w:ind w:left="-4536" w:firstLine="810"/>
        <w:rPr>
          <w:rFonts w:cs="Tahoma"/>
          <w:b/>
          <w:bCs/>
        </w:rPr>
      </w:pPr>
    </w:p>
    <w:p w:rsidR="007E3713" w:rsidRPr="00106FDE" w:rsidRDefault="007E3713" w:rsidP="007E3713">
      <w:pPr>
        <w:ind w:left="-4536" w:firstLine="810"/>
        <w:rPr>
          <w:rFonts w:cs="Tahoma"/>
          <w:b/>
          <w:bCs/>
        </w:rPr>
      </w:pPr>
    </w:p>
    <w:p w:rsidR="007E3713" w:rsidRPr="00106FDE" w:rsidRDefault="007E3713" w:rsidP="007E3713">
      <w:pPr>
        <w:ind w:left="-4536" w:firstLine="810"/>
        <w:rPr>
          <w:rFonts w:cs="Tahoma"/>
          <w:b/>
          <w:bCs/>
        </w:rPr>
      </w:pPr>
    </w:p>
    <w:p w:rsidR="007E3713" w:rsidRPr="00106FDE" w:rsidRDefault="007E3713" w:rsidP="007E3713">
      <w:pPr>
        <w:ind w:left="-4536" w:firstLine="810"/>
        <w:rPr>
          <w:rFonts w:cs="Tahoma"/>
          <w:b/>
          <w:bCs/>
        </w:rPr>
      </w:pPr>
    </w:p>
    <w:p w:rsidR="007E3713" w:rsidRDefault="007E3713" w:rsidP="007E3713">
      <w:pPr>
        <w:ind w:left="-4536" w:firstLine="810"/>
        <w:rPr>
          <w:rFonts w:cs="Tahoma"/>
          <w:b/>
          <w:bCs/>
        </w:rPr>
      </w:pPr>
    </w:p>
    <w:p w:rsidR="007E3713" w:rsidRDefault="007E3713" w:rsidP="007E3713">
      <w:pPr>
        <w:ind w:left="-4536" w:firstLine="810"/>
        <w:rPr>
          <w:rFonts w:cs="Tahoma"/>
          <w:b/>
          <w:bCs/>
        </w:rPr>
      </w:pPr>
    </w:p>
    <w:p w:rsidR="007E3713" w:rsidRPr="00106FDE" w:rsidRDefault="007E3713" w:rsidP="007E3713">
      <w:pPr>
        <w:ind w:left="-4536" w:firstLine="810"/>
        <w:rPr>
          <w:rFonts w:cs="Tahoma"/>
          <w:b/>
          <w:bCs/>
        </w:rPr>
      </w:pPr>
    </w:p>
    <w:p w:rsidR="007E3713" w:rsidRPr="00106FDE" w:rsidRDefault="007E3713" w:rsidP="007E3713">
      <w:pPr>
        <w:ind w:left="-4536" w:firstLine="810"/>
        <w:rPr>
          <w:rFonts w:cs="Tahoma"/>
          <w:b/>
          <w:bCs/>
        </w:rPr>
      </w:pPr>
    </w:p>
    <w:bookmarkEnd w:id="77"/>
    <w:bookmarkEnd w:id="78"/>
    <w:bookmarkEnd w:id="79"/>
    <w:p w:rsidR="007E3713" w:rsidRPr="00106FDE" w:rsidRDefault="00803610" w:rsidP="007E3713">
      <w:pPr>
        <w:ind w:firstLine="709"/>
        <w:rPr>
          <w:rFonts w:cs="Tahoma"/>
          <w:bCs/>
        </w:rPr>
      </w:pPr>
      <w:r>
        <w:rPr>
          <w:rFonts w:cs="Tahoma"/>
          <w:bCs/>
          <w:noProof/>
        </w:rPr>
        <w:lastRenderedPageBreak/>
        <w:pict>
          <v:shape id="_x0000_s1230" type="#_x0000_t202" style="position:absolute;left:0;text-align:left;margin-left:-227.25pt;margin-top:.15pt;width:218.35pt;height:201.75pt;z-index:251751424;v-text-anchor:middle" stroked="f" strokecolor="black [3213]">
            <v:textbox style="mso-next-textbox:#_x0000_s1230" inset="0,0,0,0">
              <w:txbxContent>
                <w:p w:rsidR="00280598" w:rsidRPr="00E8302F" w:rsidRDefault="00280598" w:rsidP="007E3713">
                  <w:pPr>
                    <w:pStyle w:val="Caption"/>
                    <w:rPr>
                      <w:rFonts w:cs="Tahoma"/>
                      <w:b w:val="0"/>
                    </w:rPr>
                  </w:pPr>
                  <w:r>
                    <w:t>Chart</w:t>
                  </w:r>
                  <w:r w:rsidRPr="00E8302F">
                    <w:t xml:space="preserve"> </w:t>
                  </w:r>
                  <w:fldSimple w:instr=" SEQ Графикон_бр. \* ARABIC ">
                    <w:r>
                      <w:rPr>
                        <w:noProof/>
                      </w:rPr>
                      <w:t>79</w:t>
                    </w:r>
                  </w:fldSimple>
                  <w:r w:rsidRPr="00E8302F">
                    <w:rPr>
                      <w:rFonts w:cs="Tahoma"/>
                      <w:lang w:val="mk-MK"/>
                    </w:rPr>
                    <w:t xml:space="preserve"> </w:t>
                  </w:r>
                </w:p>
                <w:p w:rsidR="00280598" w:rsidRPr="001162C3" w:rsidRDefault="00280598" w:rsidP="007E3713">
                  <w:pPr>
                    <w:pStyle w:val="Caption"/>
                    <w:rPr>
                      <w:rFonts w:cs="Tahoma"/>
                      <w:b w:val="0"/>
                    </w:rPr>
                  </w:pPr>
                  <w:r>
                    <w:rPr>
                      <w:rFonts w:cs="Tahoma"/>
                    </w:rPr>
                    <w:t>Annual change of assets of the banking system</w:t>
                  </w:r>
                </w:p>
                <w:p w:rsidR="00280598" w:rsidRPr="00E8302F" w:rsidRDefault="00280598" w:rsidP="007E3713">
                  <w:pPr>
                    <w:rPr>
                      <w:sz w:val="18"/>
                      <w:szCs w:val="18"/>
                      <w:lang w:val="mk-MK"/>
                    </w:rPr>
                  </w:pPr>
                  <w:r>
                    <w:rPr>
                      <w:sz w:val="18"/>
                      <w:szCs w:val="18"/>
                    </w:rPr>
                    <w:t>In millions of denars</w:t>
                  </w:r>
                  <w:r>
                    <w:rPr>
                      <w:sz w:val="18"/>
                      <w:szCs w:val="18"/>
                      <w:lang w:val="mk-MK"/>
                    </w:rPr>
                    <w:t xml:space="preserve"> (</w:t>
                  </w:r>
                  <w:r>
                    <w:rPr>
                      <w:sz w:val="18"/>
                      <w:szCs w:val="18"/>
                    </w:rPr>
                    <w:t>left scale</w:t>
                  </w:r>
                  <w:r>
                    <w:rPr>
                      <w:sz w:val="18"/>
                      <w:szCs w:val="18"/>
                      <w:lang w:val="mk-MK"/>
                    </w:rPr>
                    <w:t xml:space="preserve">) </w:t>
                  </w:r>
                  <w:r>
                    <w:rPr>
                      <w:sz w:val="18"/>
                      <w:szCs w:val="18"/>
                    </w:rPr>
                    <w:t>and in %</w:t>
                  </w:r>
                  <w:r>
                    <w:rPr>
                      <w:sz w:val="18"/>
                      <w:szCs w:val="18"/>
                      <w:lang w:val="mk-MK"/>
                    </w:rPr>
                    <w:t xml:space="preserve"> (</w:t>
                  </w:r>
                  <w:r>
                    <w:rPr>
                      <w:sz w:val="18"/>
                      <w:szCs w:val="18"/>
                    </w:rPr>
                    <w:t>right scale</w:t>
                  </w:r>
                  <w:r>
                    <w:rPr>
                      <w:sz w:val="18"/>
                      <w:szCs w:val="18"/>
                      <w:lang w:val="mk-MK"/>
                    </w:rPr>
                    <w:t>)</w:t>
                  </w:r>
                </w:p>
                <w:p w:rsidR="00280598" w:rsidRDefault="00280598" w:rsidP="007E3713">
                  <w:pPr>
                    <w:rPr>
                      <w:sz w:val="18"/>
                      <w:szCs w:val="18"/>
                      <w:lang w:val="mk-MK"/>
                    </w:rPr>
                  </w:pPr>
                  <w:r w:rsidRPr="001162C3">
                    <w:rPr>
                      <w:noProof/>
                    </w:rPr>
                    <w:drawing>
                      <wp:inline distT="0" distB="0" distL="0" distR="0">
                        <wp:extent cx="2768600" cy="1761067"/>
                        <wp:effectExtent l="0" t="0" r="0" b="0"/>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3045" cy="1763894"/>
                                </a:xfrm>
                                <a:prstGeom prst="rect">
                                  <a:avLst/>
                                </a:prstGeom>
                                <a:noFill/>
                                <a:ln>
                                  <a:noFill/>
                                </a:ln>
                              </pic:spPr>
                            </pic:pic>
                          </a:graphicData>
                        </a:graphic>
                      </wp:inline>
                    </w:drawing>
                  </w:r>
                </w:p>
                <w:p w:rsidR="00280598" w:rsidRPr="007E3713" w:rsidRDefault="00280598" w:rsidP="007E3713">
                  <w:pPr>
                    <w:rPr>
                      <w:sz w:val="18"/>
                      <w:szCs w:val="18"/>
                    </w:rPr>
                  </w:pPr>
                  <w:r>
                    <w:rPr>
                      <w:sz w:val="18"/>
                      <w:szCs w:val="18"/>
                    </w:rPr>
                    <w:t>Source: NBRM, based on data submitted by banks.</w:t>
                  </w: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Pr="008476D5" w:rsidRDefault="00280598" w:rsidP="007E3713">
                  <w:pPr>
                    <w:rPr>
                      <w:sz w:val="20"/>
                      <w:szCs w:val="20"/>
                      <w:lang w:val="mk-MK"/>
                    </w:rPr>
                  </w:pPr>
                </w:p>
              </w:txbxContent>
            </v:textbox>
          </v:shape>
        </w:pict>
      </w:r>
      <w:r w:rsidR="007E3713" w:rsidRPr="00106FDE">
        <w:rPr>
          <w:rFonts w:cs="Tahoma"/>
          <w:bCs/>
        </w:rPr>
        <w:t>As of December 31, 2013, the total assets of the banking system amounted to Denar 369,505 million. The slowdown of their growth, which began in 2011, continued in the following years, and in 2013 they registered the lowest absolute and relative annual growth in the last twelve years. Generator of the growth of assets in 2013 are deposits of non-financial entities, whose movements are described in the text below. The slower growth of assets in circumstances of accelerated deposit activity stems from the decline in deposits from financial companies - non-residents and the minimal increase in the liabilities on the basis of loans compared to the growth registered in 2012. The most significant developments in the structure of assets during 2013 are: the growth</w:t>
      </w:r>
      <w:r w:rsidR="007E3713">
        <w:rPr>
          <w:rFonts w:cs="Tahoma"/>
          <w:bCs/>
        </w:rPr>
        <w:t xml:space="preserve"> of the </w:t>
      </w:r>
      <w:r w:rsidR="007E3713" w:rsidRPr="00106FDE">
        <w:rPr>
          <w:rFonts w:cs="Tahoma"/>
          <w:bCs/>
        </w:rPr>
        <w:t>investments in liquid securities and the growth in the placements with banks.</w:t>
      </w:r>
    </w:p>
    <w:p w:rsidR="007E3713" w:rsidRPr="00106FDE" w:rsidRDefault="00803610" w:rsidP="007E3713">
      <w:pPr>
        <w:ind w:firstLine="709"/>
        <w:rPr>
          <w:rFonts w:cs="Tahoma"/>
          <w:bCs/>
        </w:rPr>
      </w:pPr>
      <w:r>
        <w:rPr>
          <w:rFonts w:cs="Tahoma"/>
          <w:bCs/>
          <w:noProof/>
        </w:rPr>
        <w:pict>
          <v:shape id="_x0000_s1231" type="#_x0000_t202" style="position:absolute;left:0;text-align:left;margin-left:-240.7pt;margin-top:9.9pt;width:225.9pt;height:194.75pt;z-index:251752448;v-text-anchor:middle" stroked="f" strokecolor="black [3213]">
            <v:textbox style="mso-next-textbox:#_x0000_s1231" inset="0,0,0,0">
              <w:txbxContent>
                <w:p w:rsidR="00280598" w:rsidRPr="00E8302F" w:rsidRDefault="00280598" w:rsidP="007E3713">
                  <w:pPr>
                    <w:pStyle w:val="Caption"/>
                    <w:rPr>
                      <w:rFonts w:cs="Tahoma"/>
                      <w:b w:val="0"/>
                    </w:rPr>
                  </w:pPr>
                  <w:r>
                    <w:t>Chart</w:t>
                  </w:r>
                  <w:r w:rsidRPr="00E8302F">
                    <w:t xml:space="preserve"> </w:t>
                  </w:r>
                  <w:fldSimple w:instr=" SEQ Графикон_бр. \* ARABIC ">
                    <w:r>
                      <w:rPr>
                        <w:noProof/>
                      </w:rPr>
                      <w:t>80</w:t>
                    </w:r>
                  </w:fldSimple>
                  <w:r w:rsidRPr="00E8302F">
                    <w:rPr>
                      <w:rFonts w:cs="Tahoma"/>
                      <w:lang w:val="mk-MK"/>
                    </w:rPr>
                    <w:t xml:space="preserve"> </w:t>
                  </w:r>
                </w:p>
                <w:p w:rsidR="00280598" w:rsidRDefault="00280598" w:rsidP="007E3713">
                  <w:pPr>
                    <w:pStyle w:val="Caption"/>
                    <w:rPr>
                      <w:rFonts w:cs="Tahoma"/>
                    </w:rPr>
                  </w:pPr>
                  <w:r>
                    <w:rPr>
                      <w:rFonts w:cs="Tahoma"/>
                    </w:rPr>
                    <w:t>Structure of the securities portfolio</w:t>
                  </w:r>
                </w:p>
                <w:p w:rsidR="00280598" w:rsidRPr="007E3713" w:rsidRDefault="00280598" w:rsidP="007E3713">
                  <w:pPr>
                    <w:pStyle w:val="Caption"/>
                    <w:rPr>
                      <w:rFonts w:cs="Tahoma"/>
                      <w:b w:val="0"/>
                    </w:rPr>
                  </w:pPr>
                  <w:r w:rsidRPr="007E3713">
                    <w:rPr>
                      <w:b w:val="0"/>
                      <w:sz w:val="18"/>
                      <w:szCs w:val="18"/>
                    </w:rPr>
                    <w:t>In %</w:t>
                  </w:r>
                  <w:r w:rsidRPr="007E3713">
                    <w:rPr>
                      <w:b w:val="0"/>
                      <w:sz w:val="18"/>
                      <w:szCs w:val="18"/>
                      <w:lang w:val="mk-MK"/>
                    </w:rPr>
                    <w:t xml:space="preserve"> </w:t>
                  </w:r>
                </w:p>
                <w:p w:rsidR="00280598" w:rsidRDefault="00280598" w:rsidP="007E3713">
                  <w:pPr>
                    <w:rPr>
                      <w:sz w:val="18"/>
                      <w:szCs w:val="18"/>
                      <w:lang w:val="mk-MK"/>
                    </w:rPr>
                  </w:pPr>
                  <w:r w:rsidRPr="001162C3">
                    <w:rPr>
                      <w:noProof/>
                    </w:rPr>
                    <w:drawing>
                      <wp:inline distT="0" distB="0" distL="0" distR="0">
                        <wp:extent cx="2857500" cy="1800225"/>
                        <wp:effectExtent l="19050" t="0" r="0" b="0"/>
                        <wp:docPr id="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5085" cy="1805004"/>
                                </a:xfrm>
                                <a:prstGeom prst="rect">
                                  <a:avLst/>
                                </a:prstGeom>
                                <a:noFill/>
                                <a:ln>
                                  <a:noFill/>
                                </a:ln>
                              </pic:spPr>
                            </pic:pic>
                          </a:graphicData>
                        </a:graphic>
                      </wp:inline>
                    </w:drawing>
                  </w:r>
                </w:p>
                <w:p w:rsidR="00280598" w:rsidRPr="007E3713" w:rsidRDefault="00280598" w:rsidP="007E3713">
                  <w:pPr>
                    <w:rPr>
                      <w:sz w:val="18"/>
                      <w:szCs w:val="18"/>
                    </w:rPr>
                  </w:pPr>
                  <w:r>
                    <w:rPr>
                      <w:sz w:val="18"/>
                      <w:szCs w:val="18"/>
                    </w:rPr>
                    <w:t>Source: NBRM, based on data submitted by banks.</w:t>
                  </w: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Pr="008476D5" w:rsidRDefault="00280598" w:rsidP="007E3713">
                  <w:pPr>
                    <w:rPr>
                      <w:sz w:val="20"/>
                      <w:szCs w:val="20"/>
                      <w:lang w:val="mk-MK"/>
                    </w:rPr>
                  </w:pPr>
                </w:p>
              </w:txbxContent>
            </v:textbox>
          </v:shape>
        </w:pict>
      </w:r>
      <w:r>
        <w:rPr>
          <w:rFonts w:cs="Tahoma"/>
          <w:bCs/>
          <w:noProof/>
        </w:rPr>
        <w:pict>
          <v:shape id="_x0000_s1232" type="#_x0000_t202" style="position:absolute;left:0;text-align:left;margin-left:1.3pt;margin-top:9.9pt;width:231.9pt;height:187.35pt;z-index:251753472;v-text-anchor:middle" stroked="f" strokecolor="black [3213]">
            <v:textbox style="mso-next-textbox:#_x0000_s1232" inset="0,0,0,0">
              <w:txbxContent>
                <w:p w:rsidR="00280598" w:rsidRPr="00E8302F" w:rsidRDefault="00280598" w:rsidP="007E3713">
                  <w:pPr>
                    <w:pStyle w:val="Caption"/>
                    <w:rPr>
                      <w:rFonts w:cs="Tahoma"/>
                      <w:b w:val="0"/>
                    </w:rPr>
                  </w:pPr>
                  <w:r>
                    <w:t>Chart</w:t>
                  </w:r>
                  <w:r w:rsidRPr="00E8302F">
                    <w:t xml:space="preserve"> </w:t>
                  </w:r>
                  <w:fldSimple w:instr=" SEQ Графикон_бр. \* ARABIC ">
                    <w:r>
                      <w:rPr>
                        <w:noProof/>
                      </w:rPr>
                      <w:t>81</w:t>
                    </w:r>
                  </w:fldSimple>
                  <w:r w:rsidRPr="00E8302F">
                    <w:rPr>
                      <w:rFonts w:cs="Tahoma"/>
                      <w:lang w:val="mk-MK"/>
                    </w:rPr>
                    <w:t xml:space="preserve"> </w:t>
                  </w:r>
                </w:p>
                <w:p w:rsidR="00280598" w:rsidRPr="001162C3" w:rsidRDefault="00280598" w:rsidP="007E3713">
                  <w:pPr>
                    <w:pStyle w:val="Caption"/>
                    <w:rPr>
                      <w:rFonts w:cs="Tahoma"/>
                      <w:b w:val="0"/>
                    </w:rPr>
                  </w:pPr>
                  <w:r>
                    <w:rPr>
                      <w:rFonts w:cs="Tahoma"/>
                    </w:rPr>
                    <w:t>Annual change of the securities portfolio</w:t>
                  </w:r>
                </w:p>
                <w:p w:rsidR="00280598" w:rsidRPr="00E8302F" w:rsidRDefault="00280598" w:rsidP="007E3713">
                  <w:pPr>
                    <w:rPr>
                      <w:sz w:val="18"/>
                      <w:szCs w:val="18"/>
                      <w:lang w:val="mk-MK"/>
                    </w:rPr>
                  </w:pPr>
                  <w:r>
                    <w:rPr>
                      <w:sz w:val="18"/>
                      <w:szCs w:val="18"/>
                    </w:rPr>
                    <w:t>In millions of denars</w:t>
                  </w:r>
                  <w:r>
                    <w:rPr>
                      <w:sz w:val="18"/>
                      <w:szCs w:val="18"/>
                      <w:lang w:val="mk-MK"/>
                    </w:rPr>
                    <w:t xml:space="preserve"> (</w:t>
                  </w:r>
                  <w:r>
                    <w:rPr>
                      <w:sz w:val="18"/>
                      <w:szCs w:val="18"/>
                    </w:rPr>
                    <w:t>left scale</w:t>
                  </w:r>
                  <w:r>
                    <w:rPr>
                      <w:sz w:val="18"/>
                      <w:szCs w:val="18"/>
                      <w:lang w:val="mk-MK"/>
                    </w:rPr>
                    <w:t xml:space="preserve">) </w:t>
                  </w:r>
                  <w:r>
                    <w:rPr>
                      <w:sz w:val="18"/>
                      <w:szCs w:val="18"/>
                    </w:rPr>
                    <w:t>and in %</w:t>
                  </w:r>
                  <w:r>
                    <w:rPr>
                      <w:sz w:val="18"/>
                      <w:szCs w:val="18"/>
                      <w:lang w:val="mk-MK"/>
                    </w:rPr>
                    <w:t xml:space="preserve"> (</w:t>
                  </w:r>
                  <w:r>
                    <w:rPr>
                      <w:sz w:val="18"/>
                      <w:szCs w:val="18"/>
                    </w:rPr>
                    <w:t>right scale</w:t>
                  </w:r>
                  <w:r>
                    <w:rPr>
                      <w:sz w:val="18"/>
                      <w:szCs w:val="18"/>
                      <w:lang w:val="mk-MK"/>
                    </w:rPr>
                    <w:t>)</w:t>
                  </w:r>
                </w:p>
                <w:p w:rsidR="00280598" w:rsidRDefault="00280598" w:rsidP="007E3713">
                  <w:pPr>
                    <w:rPr>
                      <w:sz w:val="18"/>
                      <w:szCs w:val="18"/>
                      <w:lang w:val="mk-MK"/>
                    </w:rPr>
                  </w:pPr>
                  <w:r w:rsidRPr="001162C3">
                    <w:rPr>
                      <w:noProof/>
                    </w:rPr>
                    <w:drawing>
                      <wp:inline distT="0" distB="0" distL="0" distR="0">
                        <wp:extent cx="2945010" cy="1769534"/>
                        <wp:effectExtent l="0" t="0" r="0" b="0"/>
                        <wp:docPr id="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5130" cy="1769606"/>
                                </a:xfrm>
                                <a:prstGeom prst="rect">
                                  <a:avLst/>
                                </a:prstGeom>
                                <a:noFill/>
                                <a:ln>
                                  <a:noFill/>
                                </a:ln>
                              </pic:spPr>
                            </pic:pic>
                          </a:graphicData>
                        </a:graphic>
                      </wp:inline>
                    </w:drawing>
                  </w:r>
                </w:p>
                <w:p w:rsidR="00280598" w:rsidRPr="001162C3" w:rsidRDefault="00280598" w:rsidP="007E3713">
                  <w:pPr>
                    <w:rPr>
                      <w:sz w:val="18"/>
                      <w:szCs w:val="18"/>
                    </w:rPr>
                  </w:pPr>
                  <w:r>
                    <w:rPr>
                      <w:sz w:val="18"/>
                      <w:szCs w:val="18"/>
                    </w:rPr>
                    <w:t>Source: NBRM, based on data submitted by banks.</w:t>
                  </w: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Pr="008476D5" w:rsidRDefault="00280598" w:rsidP="007E3713">
                  <w:pPr>
                    <w:rPr>
                      <w:sz w:val="20"/>
                      <w:szCs w:val="20"/>
                      <w:lang w:val="mk-MK"/>
                    </w:rPr>
                  </w:pPr>
                </w:p>
              </w:txbxContent>
            </v:textbox>
          </v:shape>
        </w:pict>
      </w:r>
    </w:p>
    <w:p w:rsidR="007E3713" w:rsidRPr="00106FDE" w:rsidRDefault="007E3713" w:rsidP="007E3713">
      <w:pPr>
        <w:ind w:firstLine="709"/>
        <w:rPr>
          <w:rFonts w:cs="Tahoma"/>
          <w:bCs/>
        </w:rPr>
      </w:pPr>
      <w:r w:rsidRPr="00106FDE">
        <w:rPr>
          <w:rFonts w:cs="Tahoma"/>
          <w:bCs/>
        </w:rPr>
        <w:t>  </w:t>
      </w: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rPr>
          <w:rFonts w:cs="Tahoma"/>
          <w:bCs/>
        </w:rPr>
      </w:pPr>
    </w:p>
    <w:p w:rsidR="007E3713" w:rsidRPr="00106FDE" w:rsidRDefault="007E3713" w:rsidP="007E3713">
      <w:pPr>
        <w:ind w:firstLine="709"/>
        <w:rPr>
          <w:rFonts w:cs="Tahoma"/>
          <w:bCs/>
        </w:rPr>
      </w:pPr>
      <w:r w:rsidRPr="00106FDE">
        <w:rPr>
          <w:rFonts w:cs="Tahoma"/>
          <w:bCs/>
        </w:rPr>
        <w:t>The growth of the securities portfolio is based entirely on the increased banks' investment in government securities. During 2013, the portfolio of government securities increased by Denar 7,263 million, or 24.5%. Given the limited supply of CB bills (for the purpose of adequate distribution of the excess liquidity in the banking system to the private sector), banks' placements in CB bills reduced</w:t>
      </w:r>
      <w:r w:rsidRPr="00106FDE">
        <w:rPr>
          <w:rStyle w:val="FootnoteReference"/>
          <w:rFonts w:cs="Tahoma"/>
          <w:bCs/>
        </w:rPr>
        <w:footnoteReference w:id="62"/>
      </w:r>
      <w:r w:rsidRPr="00106FDE">
        <w:rPr>
          <w:rFonts w:cs="Tahoma"/>
          <w:bCs/>
        </w:rPr>
        <w:t xml:space="preserve">. These developments contributed to a further increase in the share of </w:t>
      </w:r>
      <w:r w:rsidRPr="00106FDE">
        <w:rPr>
          <w:rFonts w:cs="Tahoma"/>
          <w:bCs/>
        </w:rPr>
        <w:lastRenderedPageBreak/>
        <w:t xml:space="preserve">government securities in the banks' securities portfolio at the expense of the reduced share of CB bills. By type of instrument issued by the government, in 2013, banks showed more interest in investing in government bonds as instruments with longer maturity and with higher yield in comparison with the short-term Treasury bills. In 2013, the share of investments in government bonds in the government securities portfolio increased to 13.7%, from 0.7% at the end of 2012. Slightly more than half, or 54.3%, of the growth of investments in government bonds refers to the two-year government bonds without currency clause, which reached a share of over 60% within banks' investments in government bonds. </w:t>
      </w:r>
    </w:p>
    <w:p w:rsidR="007E3713" w:rsidRPr="00106FDE" w:rsidRDefault="00803610" w:rsidP="007E3713">
      <w:pPr>
        <w:ind w:firstLine="709"/>
        <w:rPr>
          <w:rFonts w:cs="Tahoma"/>
          <w:bCs/>
        </w:rPr>
      </w:pPr>
      <w:r>
        <w:rPr>
          <w:rFonts w:cs="Tahoma"/>
          <w:bCs/>
          <w:noProof/>
        </w:rPr>
        <w:pict>
          <v:shape id="_x0000_s1233" type="#_x0000_t202" style="position:absolute;left:0;text-align:left;margin-left:-235.5pt;margin-top:11.25pt;width:231.9pt;height:202.25pt;z-index:251754496;v-text-anchor:middle" stroked="f" strokecolor="black [3213]">
            <v:textbox style="mso-next-textbox:#_x0000_s1233" inset="0,0,0,0">
              <w:txbxContent>
                <w:p w:rsidR="00280598" w:rsidRPr="00E8302F" w:rsidRDefault="00280598" w:rsidP="007E3713">
                  <w:pPr>
                    <w:pStyle w:val="Caption"/>
                    <w:rPr>
                      <w:rFonts w:cs="Tahoma"/>
                      <w:b w:val="0"/>
                    </w:rPr>
                  </w:pPr>
                  <w:r>
                    <w:t>Chart</w:t>
                  </w:r>
                  <w:r w:rsidRPr="00E8302F">
                    <w:t xml:space="preserve"> </w:t>
                  </w:r>
                  <w:fldSimple w:instr=" SEQ Графикон_бр. \* ARABIC ">
                    <w:r>
                      <w:rPr>
                        <w:noProof/>
                      </w:rPr>
                      <w:t>82</w:t>
                    </w:r>
                  </w:fldSimple>
                  <w:r w:rsidRPr="00E8302F">
                    <w:rPr>
                      <w:rFonts w:cs="Tahoma"/>
                      <w:lang w:val="mk-MK"/>
                    </w:rPr>
                    <w:t xml:space="preserve"> </w:t>
                  </w:r>
                </w:p>
                <w:p w:rsidR="00280598" w:rsidRPr="001162C3" w:rsidRDefault="00280598" w:rsidP="007E3713">
                  <w:pPr>
                    <w:pStyle w:val="Caption"/>
                    <w:rPr>
                      <w:rFonts w:cs="Tahoma"/>
                      <w:b w:val="0"/>
                    </w:rPr>
                  </w:pPr>
                  <w:r>
                    <w:rPr>
                      <w:rFonts w:cs="Tahoma"/>
                    </w:rPr>
                    <w:t>Government bonds owned by banks</w:t>
                  </w:r>
                </w:p>
                <w:p w:rsidR="00280598" w:rsidRPr="00E8302F" w:rsidRDefault="00280598" w:rsidP="007E3713">
                  <w:pPr>
                    <w:rPr>
                      <w:sz w:val="18"/>
                      <w:szCs w:val="18"/>
                      <w:lang w:val="mk-MK"/>
                    </w:rPr>
                  </w:pPr>
                  <w:r>
                    <w:rPr>
                      <w:sz w:val="18"/>
                      <w:szCs w:val="18"/>
                    </w:rPr>
                    <w:t>In thousands of denars</w:t>
                  </w:r>
                  <w:r>
                    <w:rPr>
                      <w:sz w:val="18"/>
                      <w:szCs w:val="18"/>
                      <w:lang w:val="mk-MK"/>
                    </w:rPr>
                    <w:t xml:space="preserve"> (</w:t>
                  </w:r>
                  <w:r>
                    <w:rPr>
                      <w:sz w:val="18"/>
                      <w:szCs w:val="18"/>
                    </w:rPr>
                    <w:t>right scale</w:t>
                  </w:r>
                  <w:r>
                    <w:rPr>
                      <w:sz w:val="18"/>
                      <w:szCs w:val="18"/>
                      <w:lang w:val="mk-MK"/>
                    </w:rPr>
                    <w:t xml:space="preserve">) </w:t>
                  </w:r>
                  <w:r>
                    <w:rPr>
                      <w:sz w:val="18"/>
                      <w:szCs w:val="18"/>
                    </w:rPr>
                    <w:t>and in %</w:t>
                  </w:r>
                  <w:r>
                    <w:rPr>
                      <w:sz w:val="18"/>
                      <w:szCs w:val="18"/>
                      <w:lang w:val="mk-MK"/>
                    </w:rPr>
                    <w:t xml:space="preserve"> (</w:t>
                  </w:r>
                  <w:r>
                    <w:rPr>
                      <w:sz w:val="18"/>
                      <w:szCs w:val="18"/>
                    </w:rPr>
                    <w:t>left scale</w:t>
                  </w:r>
                  <w:r>
                    <w:rPr>
                      <w:sz w:val="18"/>
                      <w:szCs w:val="18"/>
                      <w:lang w:val="mk-MK"/>
                    </w:rPr>
                    <w:t>)</w:t>
                  </w:r>
                </w:p>
                <w:p w:rsidR="00280598" w:rsidRDefault="00280598" w:rsidP="007E3713">
                  <w:pPr>
                    <w:rPr>
                      <w:sz w:val="18"/>
                      <w:szCs w:val="18"/>
                      <w:lang w:val="mk-MK"/>
                    </w:rPr>
                  </w:pPr>
                  <w:r w:rsidRPr="006B690E">
                    <w:rPr>
                      <w:noProof/>
                    </w:rPr>
                    <w:drawing>
                      <wp:inline distT="0" distB="0" distL="0" distR="0">
                        <wp:extent cx="2895600" cy="1924050"/>
                        <wp:effectExtent l="19050" t="0" r="0" b="0"/>
                        <wp:docPr id="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7474" cy="1925295"/>
                                </a:xfrm>
                                <a:prstGeom prst="rect">
                                  <a:avLst/>
                                </a:prstGeom>
                                <a:noFill/>
                                <a:ln>
                                  <a:noFill/>
                                </a:ln>
                              </pic:spPr>
                            </pic:pic>
                          </a:graphicData>
                        </a:graphic>
                      </wp:inline>
                    </w:drawing>
                  </w:r>
                </w:p>
                <w:p w:rsidR="00280598" w:rsidRPr="006B33E9" w:rsidRDefault="00280598" w:rsidP="007E3713">
                  <w:pPr>
                    <w:rPr>
                      <w:sz w:val="18"/>
                      <w:szCs w:val="18"/>
                    </w:rPr>
                  </w:pPr>
                  <w:r>
                    <w:rPr>
                      <w:sz w:val="18"/>
                      <w:szCs w:val="18"/>
                    </w:rPr>
                    <w:t>Source: NBRM, based on data submitted by banks.</w:t>
                  </w: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Pr="008476D5" w:rsidRDefault="00280598" w:rsidP="007E3713">
                  <w:pPr>
                    <w:rPr>
                      <w:sz w:val="20"/>
                      <w:szCs w:val="20"/>
                      <w:lang w:val="mk-MK"/>
                    </w:rPr>
                  </w:pPr>
                </w:p>
              </w:txbxContent>
            </v:textbox>
          </v:shape>
        </w:pict>
      </w:r>
      <w:r>
        <w:rPr>
          <w:rFonts w:cs="Tahoma"/>
          <w:bCs/>
          <w:noProof/>
        </w:rPr>
        <w:pict>
          <v:shape id="_x0000_s1234" type="#_x0000_t202" style="position:absolute;left:0;text-align:left;margin-left:1.5pt;margin-top:11.25pt;width:239.25pt;height:202.25pt;z-index:251755520;v-text-anchor:middle" stroked="f" strokecolor="black [3213]">
            <v:textbox style="mso-next-textbox:#_x0000_s1234" inset="0,0,0,0">
              <w:txbxContent>
                <w:p w:rsidR="00280598" w:rsidRPr="00E8302F" w:rsidRDefault="00280598" w:rsidP="007E3713">
                  <w:pPr>
                    <w:pStyle w:val="Caption"/>
                    <w:rPr>
                      <w:rFonts w:cs="Tahoma"/>
                      <w:b w:val="0"/>
                    </w:rPr>
                  </w:pPr>
                  <w:r>
                    <w:t>Chart</w:t>
                  </w:r>
                  <w:r w:rsidRPr="00E8302F">
                    <w:t xml:space="preserve"> </w:t>
                  </w:r>
                  <w:fldSimple w:instr=" SEQ Графикон_бр. \* ARABIC ">
                    <w:r>
                      <w:rPr>
                        <w:noProof/>
                      </w:rPr>
                      <w:t>83</w:t>
                    </w:r>
                  </w:fldSimple>
                  <w:r w:rsidRPr="00E8302F">
                    <w:rPr>
                      <w:rFonts w:cs="Tahoma"/>
                      <w:lang w:val="mk-MK"/>
                    </w:rPr>
                    <w:t xml:space="preserve"> </w:t>
                  </w:r>
                </w:p>
                <w:p w:rsidR="00280598" w:rsidRPr="001162C3" w:rsidRDefault="00280598" w:rsidP="007E3713">
                  <w:pPr>
                    <w:pStyle w:val="Caption"/>
                    <w:rPr>
                      <w:rFonts w:cs="Tahoma"/>
                      <w:b w:val="0"/>
                    </w:rPr>
                  </w:pPr>
                  <w:r>
                    <w:rPr>
                      <w:rFonts w:cs="Tahoma"/>
                    </w:rPr>
                    <w:t>Structure of government bonds owned by banks, by maturity (left) and by currency (right)</w:t>
                  </w:r>
                </w:p>
                <w:p w:rsidR="00280598" w:rsidRPr="00AE768C" w:rsidRDefault="00280598" w:rsidP="007E3713">
                  <w:pPr>
                    <w:rPr>
                      <w:sz w:val="18"/>
                      <w:szCs w:val="18"/>
                    </w:rPr>
                  </w:pPr>
                  <w:r>
                    <w:rPr>
                      <w:sz w:val="18"/>
                      <w:szCs w:val="18"/>
                    </w:rPr>
                    <w:t>In %</w:t>
                  </w:r>
                  <w:r>
                    <w:rPr>
                      <w:sz w:val="18"/>
                      <w:szCs w:val="18"/>
                      <w:lang w:val="mk-MK"/>
                    </w:rPr>
                    <w:t xml:space="preserve"> </w:t>
                  </w:r>
                </w:p>
                <w:p w:rsidR="00280598" w:rsidRDefault="00280598" w:rsidP="007E3713">
                  <w:pPr>
                    <w:rPr>
                      <w:sz w:val="18"/>
                      <w:szCs w:val="18"/>
                      <w:lang w:val="mk-MK"/>
                    </w:rPr>
                  </w:pPr>
                  <w:r w:rsidRPr="00AE768C">
                    <w:rPr>
                      <w:noProof/>
                    </w:rPr>
                    <w:drawing>
                      <wp:inline distT="0" distB="0" distL="0" distR="0">
                        <wp:extent cx="2946399" cy="1608667"/>
                        <wp:effectExtent l="0" t="0" r="0" b="0"/>
                        <wp:docPr id="7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5130" cy="1607974"/>
                                </a:xfrm>
                                <a:prstGeom prst="rect">
                                  <a:avLst/>
                                </a:prstGeom>
                                <a:noFill/>
                                <a:ln>
                                  <a:noFill/>
                                </a:ln>
                              </pic:spPr>
                            </pic:pic>
                          </a:graphicData>
                        </a:graphic>
                      </wp:inline>
                    </w:drawing>
                  </w:r>
                </w:p>
                <w:p w:rsidR="00280598" w:rsidRPr="006B33E9" w:rsidRDefault="00280598" w:rsidP="007E3713">
                  <w:pPr>
                    <w:rPr>
                      <w:sz w:val="18"/>
                      <w:szCs w:val="18"/>
                    </w:rPr>
                  </w:pPr>
                  <w:r>
                    <w:rPr>
                      <w:sz w:val="18"/>
                      <w:szCs w:val="18"/>
                    </w:rPr>
                    <w:t>Source: NBRM, based on data submitted by banks.</w:t>
                  </w: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Pr="008476D5" w:rsidRDefault="00280598" w:rsidP="007E3713">
                  <w:pPr>
                    <w:rPr>
                      <w:sz w:val="20"/>
                      <w:szCs w:val="20"/>
                      <w:lang w:val="mk-MK"/>
                    </w:rPr>
                  </w:pPr>
                </w:p>
              </w:txbxContent>
            </v:textbox>
          </v:shape>
        </w:pict>
      </w:r>
    </w:p>
    <w:p w:rsidR="007E3713" w:rsidRPr="00106FDE" w:rsidRDefault="007E3713" w:rsidP="007E3713">
      <w:pPr>
        <w:ind w:firstLine="709"/>
        <w:rPr>
          <w:rFonts w:cs="Tahoma"/>
          <w:bCs/>
        </w:rPr>
      </w:pPr>
    </w:p>
    <w:p w:rsidR="007E3713" w:rsidRPr="00106FDE" w:rsidRDefault="007E3713" w:rsidP="007E3713">
      <w:pPr>
        <w:ind w:firstLine="709"/>
        <w:rPr>
          <w:rFonts w:cs="Tahoma"/>
          <w:bCs/>
        </w:rPr>
      </w:pPr>
      <w:r w:rsidRPr="00106FDE">
        <w:rPr>
          <w:rFonts w:cs="Tahoma"/>
          <w:bCs/>
        </w:rPr>
        <w:t xml:space="preserve"> </w:t>
      </w: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rPr>
          <w:rFonts w:cs="Tahoma"/>
          <w:bCs/>
        </w:rPr>
      </w:pPr>
    </w:p>
    <w:p w:rsidR="007E3713" w:rsidRPr="00106FDE" w:rsidRDefault="007E3713" w:rsidP="007E3713">
      <w:pPr>
        <w:ind w:firstLine="709"/>
        <w:rPr>
          <w:rFonts w:cs="Tahoma"/>
          <w:bCs/>
        </w:rPr>
      </w:pPr>
      <w:r w:rsidRPr="00106FDE">
        <w:rPr>
          <w:rFonts w:cs="Tahoma"/>
          <w:bCs/>
        </w:rPr>
        <w:t>The growth of placements with banks resulted from the increase in the placements of "MBDP" AD with domestic banks</w:t>
      </w:r>
      <w:r w:rsidRPr="00106FDE">
        <w:rPr>
          <w:rStyle w:val="FootnoteReference"/>
          <w:rFonts w:cs="Tahoma"/>
        </w:rPr>
        <w:footnoteReference w:id="63"/>
      </w:r>
      <w:r w:rsidRPr="00106FDE">
        <w:rPr>
          <w:rFonts w:cs="Tahoma"/>
          <w:bCs/>
        </w:rPr>
        <w:t>, through the loan from the European Investment Bank. In the liabilities of the banking system, this borrowing and further placement of the credit line caused a concomitant increase in the liabilities (of MBDP) on the basis of loans to non-residents</w:t>
      </w:r>
      <w:r w:rsidRPr="00106FDE">
        <w:rPr>
          <w:rStyle w:val="FootnoteReference"/>
          <w:rFonts w:cs="Tahoma"/>
        </w:rPr>
        <w:footnoteReference w:id="64"/>
      </w:r>
      <w:r w:rsidRPr="00106FDE">
        <w:rPr>
          <w:rFonts w:cs="Tahoma"/>
          <w:bCs/>
        </w:rPr>
        <w:t xml:space="preserve"> and </w:t>
      </w:r>
      <w:r w:rsidRPr="00106FDE">
        <w:rPr>
          <w:rFonts w:cs="Tahoma"/>
          <w:bCs/>
        </w:rPr>
        <w:lastRenderedPageBreak/>
        <w:t>liabilities on the basis of long-term loans in foreign currency to MBDP (to domestic banks)</w:t>
      </w:r>
      <w:r w:rsidRPr="00106FDE">
        <w:rPr>
          <w:rStyle w:val="FootnoteReference"/>
          <w:rFonts w:cs="Tahoma"/>
        </w:rPr>
        <w:footnoteReference w:id="65"/>
      </w:r>
      <w:r w:rsidRPr="00106FDE">
        <w:rPr>
          <w:rFonts w:cs="Tahoma"/>
          <w:bCs/>
        </w:rPr>
        <w:t>.</w:t>
      </w:r>
    </w:p>
    <w:p w:rsidR="007E3713" w:rsidRDefault="00803610" w:rsidP="007E3713">
      <w:pPr>
        <w:ind w:firstLine="709"/>
        <w:rPr>
          <w:rFonts w:cs="Tahoma"/>
          <w:bCs/>
        </w:rPr>
      </w:pPr>
      <w:r>
        <w:rPr>
          <w:rFonts w:cs="Tahoma"/>
          <w:bCs/>
          <w:noProof/>
        </w:rPr>
        <w:pict>
          <v:shape id="_x0000_s1235" type="#_x0000_t202" style="position:absolute;left:0;text-align:left;margin-left:-235.5pt;margin-top:12.6pt;width:234pt;height:206.25pt;z-index:251756544;v-text-anchor:middle" stroked="f" strokecolor="black [3213]">
            <v:textbox style="mso-next-textbox:#_x0000_s1235" inset="0,0,0,0">
              <w:txbxContent>
                <w:p w:rsidR="00280598" w:rsidRPr="00E8302F" w:rsidRDefault="00280598" w:rsidP="007E3713">
                  <w:pPr>
                    <w:pStyle w:val="Caption"/>
                    <w:rPr>
                      <w:rFonts w:cs="Tahoma"/>
                      <w:b w:val="0"/>
                    </w:rPr>
                  </w:pPr>
                  <w:r>
                    <w:t>Chart</w:t>
                  </w:r>
                  <w:r w:rsidRPr="00E8302F">
                    <w:t xml:space="preserve"> </w:t>
                  </w:r>
                  <w:fldSimple w:instr=" SEQ Графикон_бр. \* ARABIC ">
                    <w:r>
                      <w:rPr>
                        <w:noProof/>
                      </w:rPr>
                      <w:t>84</w:t>
                    </w:r>
                  </w:fldSimple>
                  <w:r w:rsidRPr="00E8302F">
                    <w:rPr>
                      <w:rFonts w:cs="Tahoma"/>
                      <w:lang w:val="mk-MK"/>
                    </w:rPr>
                    <w:t xml:space="preserve"> </w:t>
                  </w:r>
                </w:p>
                <w:p w:rsidR="00280598" w:rsidRPr="001162C3" w:rsidRDefault="00280598" w:rsidP="007E3713">
                  <w:pPr>
                    <w:pStyle w:val="Caption"/>
                    <w:rPr>
                      <w:rFonts w:cs="Tahoma"/>
                      <w:b w:val="0"/>
                    </w:rPr>
                  </w:pPr>
                  <w:r>
                    <w:rPr>
                      <w:rFonts w:cs="Tahoma"/>
                    </w:rPr>
                    <w:t>Placements with banks and other financial institutions (annual change)</w:t>
                  </w:r>
                </w:p>
                <w:p w:rsidR="00280598" w:rsidRPr="00AE768C" w:rsidRDefault="00280598" w:rsidP="007E3713">
                  <w:pPr>
                    <w:rPr>
                      <w:sz w:val="18"/>
                      <w:szCs w:val="18"/>
                    </w:rPr>
                  </w:pPr>
                  <w:r>
                    <w:rPr>
                      <w:sz w:val="18"/>
                      <w:szCs w:val="18"/>
                    </w:rPr>
                    <w:t>In %</w:t>
                  </w:r>
                  <w:r>
                    <w:rPr>
                      <w:sz w:val="18"/>
                      <w:szCs w:val="18"/>
                      <w:lang w:val="mk-MK"/>
                    </w:rPr>
                    <w:t xml:space="preserve"> </w:t>
                  </w:r>
                </w:p>
                <w:p w:rsidR="00280598" w:rsidRDefault="00280598" w:rsidP="007E3713">
                  <w:pPr>
                    <w:rPr>
                      <w:sz w:val="18"/>
                      <w:szCs w:val="18"/>
                      <w:lang w:val="mk-MK"/>
                    </w:rPr>
                  </w:pPr>
                  <w:r w:rsidRPr="00BE7E8F">
                    <w:rPr>
                      <w:noProof/>
                    </w:rPr>
                    <w:drawing>
                      <wp:inline distT="0" distB="0" distL="0" distR="0">
                        <wp:extent cx="2971800" cy="1808584"/>
                        <wp:effectExtent l="0" t="0" r="0" b="0"/>
                        <wp:docPr id="7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1808584"/>
                                </a:xfrm>
                                <a:prstGeom prst="rect">
                                  <a:avLst/>
                                </a:prstGeom>
                                <a:noFill/>
                                <a:ln>
                                  <a:noFill/>
                                </a:ln>
                              </pic:spPr>
                            </pic:pic>
                          </a:graphicData>
                        </a:graphic>
                      </wp:inline>
                    </w:drawing>
                  </w:r>
                </w:p>
                <w:p w:rsidR="00280598" w:rsidRPr="006B33E9" w:rsidRDefault="00280598" w:rsidP="007E3713">
                  <w:pPr>
                    <w:rPr>
                      <w:sz w:val="18"/>
                      <w:szCs w:val="18"/>
                    </w:rPr>
                  </w:pPr>
                  <w:r>
                    <w:rPr>
                      <w:sz w:val="18"/>
                      <w:szCs w:val="18"/>
                    </w:rPr>
                    <w:t>Source: NBRM, based on data submitted by banks.</w:t>
                  </w: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Pr="008476D5" w:rsidRDefault="00280598" w:rsidP="007E3713">
                  <w:pPr>
                    <w:rPr>
                      <w:sz w:val="20"/>
                      <w:szCs w:val="20"/>
                      <w:lang w:val="mk-MK"/>
                    </w:rPr>
                  </w:pPr>
                </w:p>
              </w:txbxContent>
            </v:textbox>
          </v:shape>
        </w:pict>
      </w:r>
      <w:r>
        <w:rPr>
          <w:rFonts w:cs="Tahoma"/>
          <w:bCs/>
          <w:noProof/>
        </w:rPr>
        <w:pict>
          <v:shape id="_x0000_s1236" type="#_x0000_t202" style="position:absolute;left:0;text-align:left;margin-left:10.5pt;margin-top:12.6pt;width:234pt;height:206.25pt;z-index:251757568;v-text-anchor:middle" stroked="f" strokecolor="black [3213]">
            <v:textbox style="mso-next-textbox:#_x0000_s1236" inset="0,0,0,0">
              <w:txbxContent>
                <w:p w:rsidR="00280598" w:rsidRPr="00E8302F" w:rsidRDefault="00280598" w:rsidP="007E3713">
                  <w:pPr>
                    <w:pStyle w:val="Caption"/>
                    <w:rPr>
                      <w:rFonts w:cs="Tahoma"/>
                      <w:b w:val="0"/>
                    </w:rPr>
                  </w:pPr>
                  <w:r>
                    <w:t>Chart</w:t>
                  </w:r>
                  <w:r w:rsidRPr="00E8302F">
                    <w:t xml:space="preserve"> </w:t>
                  </w:r>
                  <w:fldSimple w:instr=" SEQ Графикон_бр. \* ARABIC ">
                    <w:r>
                      <w:rPr>
                        <w:noProof/>
                      </w:rPr>
                      <w:t>85</w:t>
                    </w:r>
                  </w:fldSimple>
                  <w:r w:rsidRPr="00E8302F">
                    <w:rPr>
                      <w:rFonts w:cs="Tahoma"/>
                      <w:lang w:val="mk-MK"/>
                    </w:rPr>
                    <w:t xml:space="preserve"> </w:t>
                  </w:r>
                </w:p>
                <w:p w:rsidR="00280598" w:rsidRPr="001162C3" w:rsidRDefault="00280598" w:rsidP="007E3713">
                  <w:pPr>
                    <w:pStyle w:val="Caption"/>
                    <w:rPr>
                      <w:rFonts w:cs="Tahoma"/>
                      <w:b w:val="0"/>
                    </w:rPr>
                  </w:pPr>
                  <w:r>
                    <w:rPr>
                      <w:rFonts w:cs="Tahoma"/>
                    </w:rPr>
                    <w:t>Loan liabilities (annual change)</w:t>
                  </w:r>
                </w:p>
                <w:p w:rsidR="00280598" w:rsidRPr="00AE768C" w:rsidRDefault="00280598" w:rsidP="007E3713">
                  <w:pPr>
                    <w:rPr>
                      <w:sz w:val="18"/>
                      <w:szCs w:val="18"/>
                    </w:rPr>
                  </w:pPr>
                  <w:r>
                    <w:rPr>
                      <w:sz w:val="18"/>
                      <w:szCs w:val="18"/>
                    </w:rPr>
                    <w:t>In %</w:t>
                  </w:r>
                  <w:r>
                    <w:rPr>
                      <w:sz w:val="18"/>
                      <w:szCs w:val="18"/>
                      <w:lang w:val="mk-MK"/>
                    </w:rPr>
                    <w:t xml:space="preserve"> </w:t>
                  </w:r>
                </w:p>
                <w:p w:rsidR="00280598" w:rsidRDefault="00280598" w:rsidP="007E3713">
                  <w:pPr>
                    <w:rPr>
                      <w:sz w:val="18"/>
                      <w:szCs w:val="18"/>
                      <w:lang w:val="mk-MK"/>
                    </w:rPr>
                  </w:pPr>
                  <w:r w:rsidRPr="00BE7E8F">
                    <w:rPr>
                      <w:noProof/>
                    </w:rPr>
                    <w:drawing>
                      <wp:inline distT="0" distB="0" distL="0" distR="0">
                        <wp:extent cx="2914650" cy="1962150"/>
                        <wp:effectExtent l="19050" t="0" r="0" b="0"/>
                        <wp:docPr id="7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1962150"/>
                                </a:xfrm>
                                <a:prstGeom prst="rect">
                                  <a:avLst/>
                                </a:prstGeom>
                                <a:noFill/>
                                <a:ln>
                                  <a:noFill/>
                                </a:ln>
                              </pic:spPr>
                            </pic:pic>
                          </a:graphicData>
                        </a:graphic>
                      </wp:inline>
                    </w:drawing>
                  </w:r>
                </w:p>
                <w:p w:rsidR="00280598" w:rsidRPr="006B33E9" w:rsidRDefault="00280598" w:rsidP="007E3713">
                  <w:pPr>
                    <w:rPr>
                      <w:sz w:val="18"/>
                      <w:szCs w:val="18"/>
                    </w:rPr>
                  </w:pPr>
                  <w:r>
                    <w:rPr>
                      <w:sz w:val="18"/>
                      <w:szCs w:val="18"/>
                    </w:rPr>
                    <w:t>Source: NBRM, based on data submitted by banks.</w:t>
                  </w: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Pr="008476D5" w:rsidRDefault="00280598" w:rsidP="007E3713">
                  <w:pPr>
                    <w:rPr>
                      <w:sz w:val="20"/>
                      <w:szCs w:val="20"/>
                      <w:lang w:val="mk-MK"/>
                    </w:rPr>
                  </w:pPr>
                </w:p>
              </w:txbxContent>
            </v:textbox>
          </v:shape>
        </w:pict>
      </w:r>
    </w:p>
    <w:p w:rsidR="007E3713" w:rsidRDefault="007E3713" w:rsidP="007E3713">
      <w:pPr>
        <w:ind w:firstLine="709"/>
        <w:rPr>
          <w:rFonts w:cs="Tahoma"/>
          <w:bCs/>
        </w:rPr>
      </w:pPr>
    </w:p>
    <w:p w:rsidR="007E3713" w:rsidRDefault="007E3713" w:rsidP="007E3713">
      <w:pPr>
        <w:ind w:firstLine="709"/>
        <w:rPr>
          <w:rFonts w:cs="Tahoma"/>
          <w:bCs/>
        </w:rPr>
      </w:pPr>
    </w:p>
    <w:p w:rsidR="007E3713" w:rsidRDefault="007E3713" w:rsidP="007E3713">
      <w:pPr>
        <w:ind w:firstLine="709"/>
        <w:rPr>
          <w:rFonts w:cs="Tahoma"/>
          <w:bCs/>
        </w:rPr>
      </w:pPr>
    </w:p>
    <w:p w:rsidR="007E3713" w:rsidRDefault="007E3713" w:rsidP="007E3713">
      <w:pPr>
        <w:ind w:firstLine="709"/>
        <w:rPr>
          <w:rFonts w:cs="Tahoma"/>
          <w:bCs/>
        </w:rPr>
      </w:pPr>
    </w:p>
    <w:p w:rsidR="007E3713" w:rsidRDefault="007E3713" w:rsidP="007E3713">
      <w:pPr>
        <w:ind w:firstLine="709"/>
        <w:rPr>
          <w:rFonts w:cs="Tahoma"/>
          <w:bCs/>
        </w:rPr>
      </w:pPr>
    </w:p>
    <w:p w:rsidR="007E3713" w:rsidRDefault="007E3713" w:rsidP="007E3713">
      <w:pPr>
        <w:ind w:firstLine="709"/>
        <w:rPr>
          <w:rFonts w:cs="Tahoma"/>
          <w:bCs/>
        </w:rPr>
      </w:pPr>
    </w:p>
    <w:p w:rsidR="007E3713" w:rsidRDefault="007E3713" w:rsidP="007E3713">
      <w:pPr>
        <w:ind w:firstLine="709"/>
        <w:rPr>
          <w:rFonts w:cs="Tahoma"/>
          <w:bCs/>
        </w:rPr>
      </w:pPr>
    </w:p>
    <w:p w:rsidR="007E3713" w:rsidRDefault="007E3713" w:rsidP="007E3713">
      <w:pPr>
        <w:ind w:firstLine="709"/>
        <w:rPr>
          <w:rFonts w:cs="Tahoma"/>
          <w:bCs/>
        </w:rPr>
      </w:pPr>
    </w:p>
    <w:p w:rsidR="007E3713" w:rsidRDefault="007E3713" w:rsidP="007E3713">
      <w:pPr>
        <w:ind w:firstLine="709"/>
        <w:rPr>
          <w:rFonts w:cs="Tahoma"/>
          <w:bCs/>
        </w:rPr>
      </w:pPr>
    </w:p>
    <w:p w:rsidR="007E3713" w:rsidRDefault="007E3713" w:rsidP="007E3713">
      <w:pPr>
        <w:ind w:firstLine="709"/>
        <w:rPr>
          <w:rFonts w:cs="Tahoma"/>
          <w:bCs/>
        </w:rPr>
      </w:pPr>
    </w:p>
    <w:p w:rsidR="007E3713" w:rsidRDefault="007E3713" w:rsidP="007E3713">
      <w:pPr>
        <w:ind w:firstLine="709"/>
        <w:rPr>
          <w:rFonts w:cs="Tahoma"/>
          <w:bCs/>
        </w:rPr>
      </w:pPr>
    </w:p>
    <w:p w:rsidR="007E3713" w:rsidRDefault="007E3713" w:rsidP="007E3713">
      <w:pPr>
        <w:ind w:firstLine="709"/>
        <w:rPr>
          <w:rFonts w:cs="Tahoma"/>
          <w:bCs/>
        </w:rPr>
      </w:pPr>
    </w:p>
    <w:p w:rsidR="007E3713" w:rsidRDefault="007E3713" w:rsidP="007E3713">
      <w:pPr>
        <w:ind w:firstLine="709"/>
        <w:rPr>
          <w:rFonts w:cs="Tahoma"/>
          <w:bCs/>
        </w:rPr>
      </w:pPr>
    </w:p>
    <w:p w:rsidR="007E3713" w:rsidRDefault="007E3713" w:rsidP="007E3713">
      <w:pPr>
        <w:ind w:firstLine="709"/>
        <w:rPr>
          <w:rFonts w:cs="Tahoma"/>
          <w:bCs/>
        </w:rPr>
      </w:pPr>
    </w:p>
    <w:p w:rsidR="007E3713" w:rsidRDefault="007E3713" w:rsidP="007E3713">
      <w:pPr>
        <w:ind w:firstLine="709"/>
        <w:rPr>
          <w:rFonts w:cs="Tahoma"/>
          <w:bCs/>
        </w:rPr>
      </w:pPr>
    </w:p>
    <w:p w:rsidR="007E3713" w:rsidRPr="00106FDE" w:rsidRDefault="007E3713" w:rsidP="007E3713">
      <w:pPr>
        <w:rPr>
          <w:rFonts w:cs="Tahoma"/>
          <w:bCs/>
        </w:rPr>
      </w:pPr>
    </w:p>
    <w:p w:rsidR="007E3713" w:rsidRPr="00106FDE" w:rsidRDefault="00803610" w:rsidP="007E3713">
      <w:pPr>
        <w:ind w:firstLine="709"/>
        <w:rPr>
          <w:rFonts w:cs="Tahoma"/>
          <w:bCs/>
        </w:rPr>
      </w:pPr>
      <w:r>
        <w:rPr>
          <w:rFonts w:cs="Tahoma"/>
          <w:bCs/>
          <w:noProof/>
        </w:rPr>
        <w:pict>
          <v:shape id="_x0000_s1237" type="#_x0000_t202" style="position:absolute;left:0;text-align:left;margin-left:-225.4pt;margin-top:59.9pt;width:215.3pt;height:265.9pt;z-index:251758592;v-text-anchor:middle" stroked="f" strokecolor="black [3213]">
            <v:textbox style="mso-next-textbox:#_x0000_s1237" inset="0,0,0,0">
              <w:txbxContent>
                <w:p w:rsidR="00280598" w:rsidRPr="00E8302F" w:rsidRDefault="00280598" w:rsidP="007E3713">
                  <w:pPr>
                    <w:pStyle w:val="Caption"/>
                    <w:rPr>
                      <w:rFonts w:cs="Tahoma"/>
                      <w:b w:val="0"/>
                    </w:rPr>
                  </w:pPr>
                  <w:r>
                    <w:t>Chart</w:t>
                  </w:r>
                  <w:r w:rsidRPr="00E8302F">
                    <w:t xml:space="preserve"> </w:t>
                  </w:r>
                  <w:fldSimple w:instr=" SEQ Графикон_бр. \* ARABIC ">
                    <w:r>
                      <w:rPr>
                        <w:noProof/>
                      </w:rPr>
                      <w:t>86</w:t>
                    </w:r>
                  </w:fldSimple>
                  <w:r w:rsidRPr="00E8302F">
                    <w:rPr>
                      <w:rFonts w:cs="Tahoma"/>
                      <w:lang w:val="mk-MK"/>
                    </w:rPr>
                    <w:t xml:space="preserve"> </w:t>
                  </w:r>
                </w:p>
                <w:p w:rsidR="00280598" w:rsidRPr="001162C3" w:rsidRDefault="00280598" w:rsidP="007E3713">
                  <w:pPr>
                    <w:pStyle w:val="Caption"/>
                    <w:rPr>
                      <w:rFonts w:cs="Tahoma"/>
                      <w:b w:val="0"/>
                    </w:rPr>
                  </w:pPr>
                  <w:r>
                    <w:rPr>
                      <w:rFonts w:cs="Tahoma"/>
                    </w:rPr>
                    <w:t>Share of the assets and liabilities with a currency component* in the total assets of banks</w:t>
                  </w:r>
                </w:p>
                <w:p w:rsidR="00280598" w:rsidRPr="00AE768C" w:rsidRDefault="00280598" w:rsidP="007E3713">
                  <w:pPr>
                    <w:rPr>
                      <w:sz w:val="18"/>
                      <w:szCs w:val="18"/>
                    </w:rPr>
                  </w:pPr>
                  <w:r>
                    <w:rPr>
                      <w:sz w:val="18"/>
                      <w:szCs w:val="18"/>
                    </w:rPr>
                    <w:t>In %</w:t>
                  </w:r>
                  <w:r>
                    <w:rPr>
                      <w:sz w:val="18"/>
                      <w:szCs w:val="18"/>
                      <w:lang w:val="mk-MK"/>
                    </w:rPr>
                    <w:t xml:space="preserve"> </w:t>
                  </w:r>
                </w:p>
                <w:p w:rsidR="00280598" w:rsidRDefault="00280598" w:rsidP="007E3713">
                  <w:pPr>
                    <w:rPr>
                      <w:sz w:val="18"/>
                      <w:szCs w:val="18"/>
                      <w:lang w:val="mk-MK"/>
                    </w:rPr>
                  </w:pPr>
                  <w:r w:rsidRPr="004F090C">
                    <w:rPr>
                      <w:noProof/>
                    </w:rPr>
                    <w:drawing>
                      <wp:inline distT="0" distB="0" distL="0" distR="0">
                        <wp:extent cx="2734310" cy="1865063"/>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4310" cy="1865063"/>
                                </a:xfrm>
                                <a:prstGeom prst="rect">
                                  <a:avLst/>
                                </a:prstGeom>
                                <a:noFill/>
                                <a:ln>
                                  <a:noFill/>
                                </a:ln>
                              </pic:spPr>
                            </pic:pic>
                          </a:graphicData>
                        </a:graphic>
                      </wp:inline>
                    </w:drawing>
                  </w:r>
                </w:p>
                <w:p w:rsidR="00280598" w:rsidRPr="001162C3" w:rsidRDefault="00280598" w:rsidP="007E3713">
                  <w:pPr>
                    <w:rPr>
                      <w:sz w:val="18"/>
                      <w:szCs w:val="18"/>
                    </w:rPr>
                  </w:pPr>
                  <w:r>
                    <w:rPr>
                      <w:sz w:val="18"/>
                      <w:szCs w:val="18"/>
                    </w:rPr>
                    <w:t>Source: NBRM, based on data submitted by banks.</w:t>
                  </w:r>
                </w:p>
                <w:p w:rsidR="00280598" w:rsidRPr="00177381" w:rsidRDefault="00280598" w:rsidP="007E3713">
                  <w:pPr>
                    <w:rPr>
                      <w:sz w:val="18"/>
                      <w:szCs w:val="18"/>
                    </w:rPr>
                  </w:pPr>
                  <w:r>
                    <w:rPr>
                      <w:sz w:val="18"/>
                      <w:szCs w:val="18"/>
                    </w:rPr>
                    <w:t>*In the structure of the assets and liabilities with a currency component, loans and interest receivables are on a net basis (adjusted for impairment). “MBPR” AD Skopje is not included.</w:t>
                  </w:r>
                </w:p>
                <w:p w:rsidR="00280598" w:rsidRDefault="00280598" w:rsidP="007E3713">
                  <w:pPr>
                    <w:rPr>
                      <w:lang w:val="mk-MK"/>
                    </w:rPr>
                  </w:pPr>
                </w:p>
                <w:p w:rsidR="00280598" w:rsidRDefault="00280598" w:rsidP="007E3713">
                  <w:pPr>
                    <w:rPr>
                      <w:lang w:val="mk-MK"/>
                    </w:rPr>
                  </w:pPr>
                </w:p>
                <w:p w:rsidR="00280598" w:rsidRPr="008476D5" w:rsidRDefault="00280598" w:rsidP="007E3713">
                  <w:pPr>
                    <w:rPr>
                      <w:sz w:val="20"/>
                      <w:szCs w:val="20"/>
                      <w:lang w:val="mk-MK"/>
                    </w:rPr>
                  </w:pPr>
                </w:p>
              </w:txbxContent>
            </v:textbox>
          </v:shape>
        </w:pict>
      </w:r>
      <w:r w:rsidR="007E3713" w:rsidRPr="00106FDE">
        <w:rPr>
          <w:rFonts w:cs="Tahoma"/>
          <w:bCs/>
        </w:rPr>
        <w:t>On the liabilities side changes were less pronounced, with the exception of the growth of deposits of non-financial entities</w:t>
      </w:r>
      <w:r w:rsidR="007E3713" w:rsidRPr="00106FDE">
        <w:rPr>
          <w:rStyle w:val="FootnoteReference"/>
          <w:rFonts w:cs="Tahoma"/>
        </w:rPr>
        <w:footnoteReference w:id="66"/>
      </w:r>
      <w:r w:rsidR="007E3713" w:rsidRPr="00106FDE">
        <w:rPr>
          <w:rFonts w:cs="Tahoma"/>
          <w:bCs/>
        </w:rPr>
        <w:t>, which significantly (with 84%) contributed to the growth of total liabilities. The next more significant change is in the capital and reserves</w:t>
      </w:r>
      <w:r w:rsidR="007E3713" w:rsidRPr="00106FDE">
        <w:rPr>
          <w:rStyle w:val="FootnoteReference"/>
          <w:rFonts w:cs="Tahoma"/>
        </w:rPr>
        <w:footnoteReference w:id="67"/>
      </w:r>
      <w:r w:rsidR="007E3713" w:rsidRPr="00106FDE">
        <w:rPr>
          <w:rFonts w:cs="Tahoma"/>
          <w:bCs/>
        </w:rPr>
        <w:t>. Deposits of banks and other financial institutions decreased (unlike in 2012 when they went up by 25.3%), entirely due to lower short-term foreign currency deposits of non-residents - financial companies (due to the return of the deposits of the parent entities of two banks). The growth of liabilities based on loans also slowed down, primarily due to the decline in the liabilities based on repo transactions with the National Bank.</w:t>
      </w:r>
    </w:p>
    <w:p w:rsidR="007E3713" w:rsidRPr="00106FDE" w:rsidRDefault="007E3713" w:rsidP="007E3713">
      <w:pPr>
        <w:ind w:firstLine="709"/>
        <w:rPr>
          <w:rFonts w:cs="Tahoma"/>
          <w:bCs/>
        </w:rPr>
      </w:pPr>
    </w:p>
    <w:p w:rsidR="007E3713" w:rsidRPr="00106FDE" w:rsidRDefault="007E3713" w:rsidP="007E3713">
      <w:pPr>
        <w:ind w:firstLine="709"/>
        <w:rPr>
          <w:rFonts w:cs="Tahoma"/>
          <w:bCs/>
        </w:rPr>
      </w:pPr>
      <w:r w:rsidRPr="00106FDE">
        <w:rPr>
          <w:rFonts w:cs="Tahoma"/>
          <w:bCs/>
        </w:rPr>
        <w:t xml:space="preserve">The denarization in banks' balance sheets, which accelerated in late 2011 as a result of the surge of adverse information about the (un)sustainability of the euro, continued in 2013, but at somewhat slower pace on the part of the assets, rather than on the part of the sources. The share of assets with a currency component to total assets fell by 1.7 percentage points (in </w:t>
      </w:r>
      <w:r w:rsidRPr="00106FDE">
        <w:rPr>
          <w:rFonts w:cs="Tahoma"/>
          <w:bCs/>
        </w:rPr>
        <w:lastRenderedPageBreak/>
        <w:t>2012 the decline was 4.5 percentage points), while the share of liabilities with a currency component in total liabilities decreased by 2.4 percentage points (in 2012, this share fell by 3.4 percentage points).</w:t>
      </w:r>
    </w:p>
    <w:p w:rsidR="007E3713" w:rsidRPr="00106FDE" w:rsidRDefault="00803610" w:rsidP="007E3713">
      <w:pPr>
        <w:ind w:firstLine="709"/>
        <w:rPr>
          <w:rFonts w:cs="Tahoma"/>
          <w:bCs/>
        </w:rPr>
      </w:pPr>
      <w:r>
        <w:rPr>
          <w:rFonts w:cs="Tahoma"/>
          <w:bCs/>
          <w:noProof/>
        </w:rPr>
        <w:pict>
          <v:shape id="_x0000_s1238" type="#_x0000_t202" style="position:absolute;left:0;text-align:left;margin-left:-226.05pt;margin-top:-75.2pt;width:215.3pt;height:355.5pt;z-index:251759616;v-text-anchor:middle" stroked="f" strokecolor="black [3213]">
            <v:textbox style="mso-next-textbox:#_x0000_s1238" inset="0,0,0,0">
              <w:txbxContent>
                <w:p w:rsidR="00280598" w:rsidRPr="00E8302F" w:rsidRDefault="00280598" w:rsidP="007E3713">
                  <w:pPr>
                    <w:pStyle w:val="Caption"/>
                    <w:rPr>
                      <w:rFonts w:cs="Tahoma"/>
                      <w:b w:val="0"/>
                    </w:rPr>
                  </w:pPr>
                  <w:r>
                    <w:t>Chart</w:t>
                  </w:r>
                  <w:r w:rsidRPr="00E8302F">
                    <w:t xml:space="preserve"> </w:t>
                  </w:r>
                  <w:fldSimple w:instr=" SEQ Графикон_бр. \* ARABIC ">
                    <w:r>
                      <w:rPr>
                        <w:noProof/>
                      </w:rPr>
                      <w:t>87</w:t>
                    </w:r>
                  </w:fldSimple>
                  <w:r w:rsidRPr="00E8302F">
                    <w:rPr>
                      <w:rFonts w:cs="Tahoma"/>
                      <w:lang w:val="mk-MK"/>
                    </w:rPr>
                    <w:t xml:space="preserve"> </w:t>
                  </w:r>
                </w:p>
                <w:p w:rsidR="00280598" w:rsidRPr="001162C3" w:rsidRDefault="00280598" w:rsidP="007E3713">
                  <w:pPr>
                    <w:pStyle w:val="Caption"/>
                    <w:rPr>
                      <w:rFonts w:cs="Tahoma"/>
                      <w:b w:val="0"/>
                    </w:rPr>
                  </w:pPr>
                  <w:r>
                    <w:rPr>
                      <w:rFonts w:cs="Tahoma"/>
                    </w:rPr>
                    <w:t>Liabilities (up) to and claims on nonresidents</w:t>
                  </w:r>
                </w:p>
                <w:p w:rsidR="00280598" w:rsidRPr="00A22D2D" w:rsidRDefault="00280598" w:rsidP="007E3713">
                  <w:pPr>
                    <w:rPr>
                      <w:sz w:val="18"/>
                      <w:szCs w:val="18"/>
                    </w:rPr>
                  </w:pPr>
                  <w:r>
                    <w:rPr>
                      <w:sz w:val="18"/>
                      <w:szCs w:val="18"/>
                    </w:rPr>
                    <w:t>In millions of denars (left scale) and in % (right scale)</w:t>
                  </w:r>
                </w:p>
                <w:p w:rsidR="00280598" w:rsidRDefault="00280598" w:rsidP="007E3713">
                  <w:pPr>
                    <w:rPr>
                      <w:sz w:val="18"/>
                      <w:szCs w:val="18"/>
                      <w:lang w:val="mk-MK"/>
                    </w:rPr>
                  </w:pPr>
                  <w:r w:rsidRPr="00A22D2D">
                    <w:rPr>
                      <w:noProof/>
                    </w:rPr>
                    <w:drawing>
                      <wp:inline distT="0" distB="0" distL="0" distR="0">
                        <wp:extent cx="2734575" cy="3031067"/>
                        <wp:effectExtent l="0" t="0" r="0" b="0"/>
                        <wp:docPr id="8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4310" cy="3030773"/>
                                </a:xfrm>
                                <a:prstGeom prst="rect">
                                  <a:avLst/>
                                </a:prstGeom>
                                <a:noFill/>
                                <a:ln>
                                  <a:noFill/>
                                </a:ln>
                              </pic:spPr>
                            </pic:pic>
                          </a:graphicData>
                        </a:graphic>
                      </wp:inline>
                    </w:drawing>
                  </w:r>
                </w:p>
                <w:p w:rsidR="00280598" w:rsidRPr="001162C3" w:rsidRDefault="00280598" w:rsidP="007E3713">
                  <w:pPr>
                    <w:rPr>
                      <w:sz w:val="18"/>
                      <w:szCs w:val="18"/>
                    </w:rPr>
                  </w:pPr>
                  <w:r>
                    <w:rPr>
                      <w:sz w:val="18"/>
                      <w:szCs w:val="18"/>
                    </w:rPr>
                    <w:t>Source: NBRM, based on data submitted by banks.</w:t>
                  </w:r>
                </w:p>
                <w:p w:rsidR="00280598" w:rsidRPr="00177381" w:rsidRDefault="00280598" w:rsidP="007E3713">
                  <w:pPr>
                    <w:rPr>
                      <w:sz w:val="18"/>
                      <w:szCs w:val="18"/>
                    </w:rPr>
                  </w:pPr>
                  <w:r>
                    <w:rPr>
                      <w:sz w:val="18"/>
                      <w:szCs w:val="18"/>
                    </w:rPr>
                    <w:t>*In the structure of the assets and liabilities with a currency component, loans and interest receivables are on a net basis (adjusted for impairment). “MBPR” AD Skopje is not included.</w:t>
                  </w:r>
                </w:p>
                <w:p w:rsidR="00280598" w:rsidRDefault="00280598" w:rsidP="007E3713">
                  <w:pPr>
                    <w:rPr>
                      <w:lang w:val="mk-MK"/>
                    </w:rPr>
                  </w:pPr>
                </w:p>
                <w:p w:rsidR="00280598" w:rsidRDefault="00280598" w:rsidP="007E3713">
                  <w:pPr>
                    <w:rPr>
                      <w:lang w:val="mk-MK"/>
                    </w:rPr>
                  </w:pPr>
                </w:p>
                <w:p w:rsidR="00280598" w:rsidRPr="008476D5" w:rsidRDefault="00280598" w:rsidP="007E3713">
                  <w:pPr>
                    <w:rPr>
                      <w:sz w:val="20"/>
                      <w:szCs w:val="20"/>
                      <w:lang w:val="mk-MK"/>
                    </w:rPr>
                  </w:pPr>
                </w:p>
              </w:txbxContent>
            </v:textbox>
          </v:shape>
        </w:pict>
      </w:r>
    </w:p>
    <w:p w:rsidR="007E3713" w:rsidRPr="00106FDE" w:rsidRDefault="007E3713" w:rsidP="007E3713">
      <w:pPr>
        <w:ind w:firstLine="709"/>
        <w:rPr>
          <w:rFonts w:cs="Tahoma"/>
          <w:bCs/>
        </w:rPr>
      </w:pPr>
      <w:r w:rsidRPr="00106FDE">
        <w:rPr>
          <w:rFonts w:cs="Tahoma"/>
          <w:bCs/>
        </w:rPr>
        <w:t>The banking system continues to have more liabilities than claims on non-residents. But banks' claims on and liabilities to non-residents are low, and in 2013 they further declined</w:t>
      </w:r>
      <w:r w:rsidRPr="00106FDE">
        <w:rPr>
          <w:rStyle w:val="FootnoteReference"/>
          <w:rFonts w:cs="Tahoma"/>
          <w:bCs/>
        </w:rPr>
        <w:footnoteReference w:id="68"/>
      </w:r>
      <w:r w:rsidRPr="00106FDE">
        <w:rPr>
          <w:rFonts w:cs="Tahoma"/>
          <w:bCs/>
        </w:rPr>
        <w:t>. Macedonian banks perform most of their activities in the domestic market.</w:t>
      </w: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Pr="00106FDE" w:rsidRDefault="007E3713" w:rsidP="007E3713">
      <w:pPr>
        <w:ind w:firstLine="709"/>
        <w:rPr>
          <w:rFonts w:cs="Tahoma"/>
          <w:bCs/>
        </w:rPr>
      </w:pPr>
    </w:p>
    <w:p w:rsidR="007E3713" w:rsidRDefault="007E3713" w:rsidP="007E3713">
      <w:pPr>
        <w:ind w:firstLine="709"/>
        <w:rPr>
          <w:rFonts w:cs="Tahoma"/>
          <w:bCs/>
        </w:rPr>
      </w:pPr>
    </w:p>
    <w:p w:rsidR="007E3713" w:rsidRDefault="007E3713" w:rsidP="007E3713">
      <w:pPr>
        <w:ind w:firstLine="709"/>
        <w:rPr>
          <w:rFonts w:cs="Tahoma"/>
          <w:bCs/>
        </w:rPr>
      </w:pPr>
    </w:p>
    <w:p w:rsidR="007E3713" w:rsidRDefault="007E3713" w:rsidP="007E3713">
      <w:pPr>
        <w:ind w:firstLine="709"/>
        <w:rPr>
          <w:rFonts w:cs="Tahoma"/>
          <w:bCs/>
        </w:rPr>
      </w:pPr>
    </w:p>
    <w:p w:rsidR="007E3713" w:rsidRDefault="007E3713" w:rsidP="007E3713">
      <w:pPr>
        <w:ind w:firstLine="709"/>
        <w:rPr>
          <w:rFonts w:cs="Tahoma"/>
          <w:bCs/>
        </w:rPr>
      </w:pPr>
    </w:p>
    <w:p w:rsidR="007E3713" w:rsidRDefault="007E3713" w:rsidP="007E3713">
      <w:pPr>
        <w:ind w:firstLine="709"/>
        <w:rPr>
          <w:rFonts w:cs="Tahoma"/>
          <w:bCs/>
        </w:rPr>
      </w:pPr>
    </w:p>
    <w:p w:rsidR="007E3713" w:rsidRDefault="007E3713" w:rsidP="007E3713">
      <w:pPr>
        <w:ind w:firstLine="709"/>
        <w:rPr>
          <w:rFonts w:cs="Tahoma"/>
          <w:bCs/>
        </w:rPr>
      </w:pPr>
    </w:p>
    <w:p w:rsidR="007E3713" w:rsidRDefault="007E3713" w:rsidP="007E3713">
      <w:pPr>
        <w:ind w:firstLine="709"/>
        <w:rPr>
          <w:rFonts w:cs="Tahoma"/>
          <w:bCs/>
        </w:rPr>
      </w:pPr>
    </w:p>
    <w:p w:rsidR="00177381" w:rsidRDefault="00177381" w:rsidP="007E3713">
      <w:pPr>
        <w:ind w:firstLine="709"/>
        <w:rPr>
          <w:rFonts w:cs="Tahoma"/>
          <w:bCs/>
        </w:rPr>
      </w:pPr>
    </w:p>
    <w:p w:rsidR="00177381" w:rsidRDefault="00177381" w:rsidP="007E3713">
      <w:pPr>
        <w:ind w:firstLine="709"/>
        <w:rPr>
          <w:rFonts w:cs="Tahoma"/>
          <w:bCs/>
        </w:rPr>
      </w:pPr>
    </w:p>
    <w:p w:rsidR="007E3713" w:rsidRDefault="007E3713" w:rsidP="007E3713">
      <w:pPr>
        <w:ind w:firstLine="709"/>
        <w:rPr>
          <w:rFonts w:cs="Tahoma"/>
          <w:bCs/>
        </w:rPr>
      </w:pPr>
    </w:p>
    <w:p w:rsidR="00177381" w:rsidRPr="00106FDE" w:rsidRDefault="00177381" w:rsidP="00177381">
      <w:pPr>
        <w:rPr>
          <w:rFonts w:cs="Tahoma"/>
          <w:bCs/>
        </w:rPr>
      </w:pPr>
    </w:p>
    <w:p w:rsidR="007E3713" w:rsidRPr="00177381" w:rsidRDefault="007E3713" w:rsidP="00C5550A">
      <w:pPr>
        <w:pStyle w:val="Heading2"/>
      </w:pPr>
      <w:bookmarkStart w:id="80" w:name="_Toc393283608"/>
      <w:r w:rsidRPr="00177381">
        <w:t>Loans to non-financial entities</w:t>
      </w:r>
      <w:bookmarkEnd w:id="80"/>
    </w:p>
    <w:p w:rsidR="007E3713" w:rsidRPr="00106FDE" w:rsidRDefault="007E3713" w:rsidP="007E3713">
      <w:pPr>
        <w:ind w:firstLine="544"/>
        <w:rPr>
          <w:rFonts w:cs="Tahoma"/>
          <w:bCs/>
        </w:rPr>
      </w:pPr>
    </w:p>
    <w:p w:rsidR="007E3713" w:rsidRPr="00106FDE" w:rsidRDefault="007E3713" w:rsidP="007E3713">
      <w:pPr>
        <w:tabs>
          <w:tab w:val="left" w:pos="450"/>
        </w:tabs>
        <w:ind w:firstLine="709"/>
        <w:rPr>
          <w:rFonts w:cs="Tahoma"/>
        </w:rPr>
      </w:pPr>
      <w:r w:rsidRPr="00106FDE">
        <w:rPr>
          <w:rFonts w:cs="Tahoma"/>
        </w:rPr>
        <w:t>Banks' lending to the non-financial sector</w:t>
      </w:r>
      <w:r w:rsidRPr="00106FDE">
        <w:rPr>
          <w:rStyle w:val="FootnoteReference"/>
          <w:rFonts w:cs="Tahoma"/>
          <w:bCs/>
        </w:rPr>
        <w:footnoteReference w:id="69"/>
      </w:r>
      <w:r w:rsidRPr="00106FDE">
        <w:rPr>
          <w:rFonts w:cs="Tahoma"/>
        </w:rPr>
        <w:t xml:space="preserve"> is constantly growing, but starting from 2012 the annual credit growth rate slowed down</w:t>
      </w:r>
      <w:r w:rsidRPr="00106FDE">
        <w:rPr>
          <w:rStyle w:val="FootnoteReference"/>
          <w:rFonts w:cs="Tahoma"/>
          <w:bCs/>
        </w:rPr>
        <w:footnoteReference w:id="70"/>
      </w:r>
      <w:r w:rsidRPr="00106FDE">
        <w:rPr>
          <w:rFonts w:cs="Tahoma"/>
        </w:rPr>
        <w:t>, which continued in 2013. Thus, at the end of 2013, total loans to non-financial entities increased by Denar 13,907 million, while the annual growth rate slowed by 0.4 percentage points and accounted for 6.4%. However, if the loans to the "government" sector</w:t>
      </w:r>
      <w:r w:rsidRPr="00106FDE">
        <w:rPr>
          <w:rStyle w:val="FootnoteReference"/>
          <w:rFonts w:cs="Tahoma"/>
          <w:bCs/>
        </w:rPr>
        <w:footnoteReference w:id="71"/>
      </w:r>
      <w:r w:rsidRPr="00106FDE">
        <w:rPr>
          <w:rFonts w:cs="Tahoma"/>
        </w:rPr>
        <w:t xml:space="preserve"> are excluded, </w:t>
      </w:r>
      <w:r w:rsidRPr="00106FDE">
        <w:rPr>
          <w:rFonts w:cs="Tahoma"/>
        </w:rPr>
        <w:lastRenderedPageBreak/>
        <w:t>lending to non-financial legal entities and natural persons accelerated by 0.4 percentage points. Lending accelerated in the second half of 2013, which also continued in 2014. The annual credit growth rate in January and February 2014 accelerated (by 0.5 and 0.3 percentage points respectively). Generators of the intensified lending activity of banks in the fourth quarter of 2013 were corporate loans. This may be related to the favorable economic developments, especially in the second half of 2013, and the stabilization of the banks' perceptions of the risks.</w:t>
      </w:r>
    </w:p>
    <w:p w:rsidR="007E3713" w:rsidRPr="00106FDE" w:rsidRDefault="00803610" w:rsidP="007E3713">
      <w:pPr>
        <w:tabs>
          <w:tab w:val="left" w:pos="450"/>
        </w:tabs>
        <w:ind w:firstLine="709"/>
        <w:rPr>
          <w:rFonts w:cs="Tahoma"/>
        </w:rPr>
      </w:pPr>
      <w:r>
        <w:rPr>
          <w:rFonts w:cs="Tahoma"/>
          <w:noProof/>
        </w:rPr>
        <w:pict>
          <v:shape id="_x0000_s1239" type="#_x0000_t202" style="position:absolute;left:0;text-align:left;margin-left:-225pt;margin-top:-156.15pt;width:215.3pt;height:186pt;z-index:251760640;v-text-anchor:middle" stroked="f" strokecolor="black [3213]">
            <v:textbox style="mso-next-textbox:#_x0000_s1239" inset="0,0,0,0">
              <w:txbxContent>
                <w:p w:rsidR="00280598" w:rsidRPr="00E8302F" w:rsidRDefault="00280598" w:rsidP="007E3713">
                  <w:pPr>
                    <w:pStyle w:val="Caption"/>
                    <w:rPr>
                      <w:rFonts w:cs="Tahoma"/>
                      <w:b w:val="0"/>
                    </w:rPr>
                  </w:pPr>
                  <w:r>
                    <w:t>Chart</w:t>
                  </w:r>
                  <w:r w:rsidRPr="00E8302F">
                    <w:t xml:space="preserve"> </w:t>
                  </w:r>
                  <w:fldSimple w:instr=" SEQ Графикон_бр. \* ARABIC ">
                    <w:r>
                      <w:rPr>
                        <w:noProof/>
                      </w:rPr>
                      <w:t>88</w:t>
                    </w:r>
                  </w:fldSimple>
                  <w:r w:rsidRPr="00E8302F">
                    <w:rPr>
                      <w:rFonts w:cs="Tahoma"/>
                      <w:lang w:val="mk-MK"/>
                    </w:rPr>
                    <w:t xml:space="preserve"> </w:t>
                  </w:r>
                </w:p>
                <w:p w:rsidR="00280598" w:rsidRPr="001162C3" w:rsidRDefault="00280598" w:rsidP="007E3713">
                  <w:pPr>
                    <w:pStyle w:val="Caption"/>
                    <w:rPr>
                      <w:rFonts w:cs="Tahoma"/>
                      <w:b w:val="0"/>
                    </w:rPr>
                  </w:pPr>
                  <w:r>
                    <w:rPr>
                      <w:rFonts w:cs="Tahoma"/>
                    </w:rPr>
                    <w:t xml:space="preserve">Loans </w:t>
                  </w:r>
                </w:p>
                <w:p w:rsidR="00280598" w:rsidRPr="00A22D2D" w:rsidRDefault="00280598" w:rsidP="007E3713">
                  <w:pPr>
                    <w:rPr>
                      <w:sz w:val="18"/>
                      <w:szCs w:val="18"/>
                    </w:rPr>
                  </w:pPr>
                  <w:r>
                    <w:rPr>
                      <w:sz w:val="18"/>
                      <w:szCs w:val="18"/>
                    </w:rPr>
                    <w:t xml:space="preserve">In millions of denars </w:t>
                  </w:r>
                </w:p>
                <w:p w:rsidR="00280598" w:rsidRDefault="00280598" w:rsidP="007E3713">
                  <w:pPr>
                    <w:rPr>
                      <w:sz w:val="18"/>
                      <w:szCs w:val="18"/>
                      <w:lang w:val="mk-MK"/>
                    </w:rPr>
                  </w:pPr>
                  <w:r w:rsidRPr="00630919">
                    <w:rPr>
                      <w:noProof/>
                    </w:rPr>
                    <w:drawing>
                      <wp:inline distT="0" distB="0" distL="0" distR="0">
                        <wp:extent cx="2730754" cy="1684867"/>
                        <wp:effectExtent l="0" t="0" r="0" b="0"/>
                        <wp:docPr id="8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4310" cy="1687061"/>
                                </a:xfrm>
                                <a:prstGeom prst="rect">
                                  <a:avLst/>
                                </a:prstGeom>
                                <a:noFill/>
                                <a:ln>
                                  <a:noFill/>
                                </a:ln>
                              </pic:spPr>
                            </pic:pic>
                          </a:graphicData>
                        </a:graphic>
                      </wp:inline>
                    </w:drawing>
                  </w:r>
                </w:p>
                <w:p w:rsidR="00280598" w:rsidRPr="001162C3" w:rsidRDefault="00280598" w:rsidP="007E3713">
                  <w:pPr>
                    <w:rPr>
                      <w:sz w:val="18"/>
                      <w:szCs w:val="18"/>
                    </w:rPr>
                  </w:pPr>
                  <w:r>
                    <w:rPr>
                      <w:sz w:val="18"/>
                      <w:szCs w:val="18"/>
                    </w:rPr>
                    <w:t>Source: NBRM, based on data submitted by banks.</w:t>
                  </w: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Pr="008476D5" w:rsidRDefault="00280598" w:rsidP="007E3713">
                  <w:pPr>
                    <w:rPr>
                      <w:sz w:val="20"/>
                      <w:szCs w:val="20"/>
                      <w:lang w:val="mk-MK"/>
                    </w:rPr>
                  </w:pPr>
                </w:p>
              </w:txbxContent>
            </v:textbox>
          </v:shape>
        </w:pict>
      </w:r>
      <w:r w:rsidR="007E3713" w:rsidRPr="00106FDE">
        <w:rPr>
          <w:rFonts w:cs="Tahoma"/>
        </w:rPr>
        <w:t>      </w:t>
      </w:r>
    </w:p>
    <w:p w:rsidR="007E3713" w:rsidRPr="00106FDE" w:rsidRDefault="00803610" w:rsidP="007E3713">
      <w:pPr>
        <w:tabs>
          <w:tab w:val="left" w:pos="450"/>
        </w:tabs>
        <w:ind w:firstLine="709"/>
        <w:rPr>
          <w:rFonts w:cs="Tahoma"/>
        </w:rPr>
      </w:pPr>
      <w:r>
        <w:rPr>
          <w:rFonts w:cs="Tahoma"/>
          <w:noProof/>
        </w:rPr>
        <w:pict>
          <v:shape id="_x0000_s1240" type="#_x0000_t202" style="position:absolute;left:0;text-align:left;margin-left:-225pt;margin-top:27.05pt;width:215.3pt;height:234pt;z-index:251761664;v-text-anchor:middle" stroked="f" strokecolor="black [3213]">
            <v:textbox style="mso-next-textbox:#_x0000_s1240" inset="0,0,0,0">
              <w:txbxContent>
                <w:p w:rsidR="00280598" w:rsidRPr="00E8302F" w:rsidRDefault="00280598" w:rsidP="007E3713">
                  <w:pPr>
                    <w:pStyle w:val="Caption"/>
                    <w:rPr>
                      <w:rFonts w:cs="Tahoma"/>
                      <w:b w:val="0"/>
                    </w:rPr>
                  </w:pPr>
                  <w:r>
                    <w:t>Chart</w:t>
                  </w:r>
                  <w:r w:rsidRPr="00E8302F">
                    <w:t xml:space="preserve"> </w:t>
                  </w:r>
                  <w:fldSimple w:instr=" SEQ Графикон_бр. \* ARABIC ">
                    <w:r>
                      <w:rPr>
                        <w:noProof/>
                      </w:rPr>
                      <w:t>89</w:t>
                    </w:r>
                  </w:fldSimple>
                  <w:r w:rsidRPr="00E8302F">
                    <w:rPr>
                      <w:rFonts w:cs="Tahoma"/>
                      <w:lang w:val="mk-MK"/>
                    </w:rPr>
                    <w:t xml:space="preserve"> </w:t>
                  </w:r>
                </w:p>
                <w:p w:rsidR="00280598" w:rsidRPr="001162C3" w:rsidRDefault="00280598" w:rsidP="007E3713">
                  <w:pPr>
                    <w:pStyle w:val="Caption"/>
                    <w:rPr>
                      <w:rFonts w:cs="Tahoma"/>
                      <w:b w:val="0"/>
                    </w:rPr>
                  </w:pPr>
                  <w:r>
                    <w:rPr>
                      <w:rFonts w:cs="Tahoma"/>
                    </w:rPr>
                    <w:t xml:space="preserve">Annual change of loans to nonfinancial companies </w:t>
                  </w:r>
                </w:p>
                <w:p w:rsidR="00280598" w:rsidRPr="00A22D2D" w:rsidRDefault="00280598" w:rsidP="007E3713">
                  <w:pPr>
                    <w:rPr>
                      <w:sz w:val="18"/>
                      <w:szCs w:val="18"/>
                    </w:rPr>
                  </w:pPr>
                  <w:r>
                    <w:rPr>
                      <w:sz w:val="18"/>
                      <w:szCs w:val="18"/>
                    </w:rPr>
                    <w:t xml:space="preserve">In millions of denars (left scale) and in % (right scale) </w:t>
                  </w:r>
                </w:p>
                <w:p w:rsidR="00280598" w:rsidRDefault="00280598" w:rsidP="007E3713">
                  <w:pPr>
                    <w:rPr>
                      <w:sz w:val="18"/>
                      <w:szCs w:val="18"/>
                      <w:lang w:val="mk-MK"/>
                    </w:rPr>
                  </w:pPr>
                  <w:r w:rsidRPr="0072001B">
                    <w:rPr>
                      <w:noProof/>
                    </w:rPr>
                    <w:drawing>
                      <wp:inline distT="0" distB="0" distL="0" distR="0">
                        <wp:extent cx="2731426" cy="1735667"/>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4310" cy="1737500"/>
                                </a:xfrm>
                                <a:prstGeom prst="rect">
                                  <a:avLst/>
                                </a:prstGeom>
                                <a:noFill/>
                                <a:ln>
                                  <a:noFill/>
                                </a:ln>
                              </pic:spPr>
                            </pic:pic>
                          </a:graphicData>
                        </a:graphic>
                      </wp:inline>
                    </w:drawing>
                  </w:r>
                </w:p>
                <w:p w:rsidR="00280598" w:rsidRDefault="00280598" w:rsidP="007E3713">
                  <w:pPr>
                    <w:rPr>
                      <w:sz w:val="18"/>
                      <w:szCs w:val="18"/>
                    </w:rPr>
                  </w:pPr>
                  <w:r>
                    <w:rPr>
                      <w:sz w:val="18"/>
                      <w:szCs w:val="18"/>
                    </w:rPr>
                    <w:t>*Loans of sector “state” are excluded from total   loans.</w:t>
                  </w:r>
                </w:p>
                <w:p w:rsidR="00280598" w:rsidRPr="00CA060E" w:rsidRDefault="00280598" w:rsidP="007E3713">
                  <w:pPr>
                    <w:rPr>
                      <w:sz w:val="18"/>
                      <w:szCs w:val="18"/>
                    </w:rPr>
                  </w:pPr>
                  <w:r w:rsidRPr="00CA060E">
                    <w:rPr>
                      <w:sz w:val="18"/>
                      <w:szCs w:val="18"/>
                    </w:rPr>
                    <w:t>Source: NBRM, based on data submitted by banks.</w:t>
                  </w:r>
                </w:p>
                <w:p w:rsidR="00280598" w:rsidRPr="001162C3" w:rsidRDefault="00280598" w:rsidP="007E3713">
                  <w:pPr>
                    <w:rPr>
                      <w:sz w:val="18"/>
                      <w:szCs w:val="18"/>
                    </w:rPr>
                  </w:pP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Pr="008476D5" w:rsidRDefault="00280598" w:rsidP="007E3713">
                  <w:pPr>
                    <w:rPr>
                      <w:sz w:val="20"/>
                      <w:szCs w:val="20"/>
                      <w:lang w:val="mk-MK"/>
                    </w:rPr>
                  </w:pPr>
                </w:p>
              </w:txbxContent>
            </v:textbox>
          </v:shape>
        </w:pict>
      </w:r>
      <w:r w:rsidR="007E3713" w:rsidRPr="00106FDE">
        <w:rPr>
          <w:rFonts w:cs="Tahoma"/>
        </w:rPr>
        <w:t>Analyzed by individual sectors, loans to households are drivers of the credit growth in 2013, contributing to the growth with 63.7%. Lending to households grew rapidly. It registered an annual increase of Denar 8,860 million, or 10.7% (Annex 6), with the consumer loans and loans for purchasing residential and commercial properties being the most used credit products in this segment (Annex 11). Loans to households were generators of the credit growth in January 2014 also, while in February this role was played by the loans to the corporate sector.</w:t>
      </w:r>
    </w:p>
    <w:p w:rsidR="007E3713" w:rsidRPr="00106FDE" w:rsidRDefault="007E3713" w:rsidP="007E3713">
      <w:pPr>
        <w:tabs>
          <w:tab w:val="left" w:pos="450"/>
        </w:tabs>
        <w:ind w:firstLine="709"/>
        <w:rPr>
          <w:rFonts w:cs="Tahoma"/>
        </w:rPr>
      </w:pPr>
    </w:p>
    <w:p w:rsidR="007E3713" w:rsidRPr="00106FDE" w:rsidRDefault="007E3713" w:rsidP="007E3713">
      <w:pPr>
        <w:tabs>
          <w:tab w:val="left" w:pos="450"/>
        </w:tabs>
        <w:ind w:firstLine="709"/>
        <w:rPr>
          <w:rFonts w:cs="Tahoma"/>
          <w:bCs/>
        </w:rPr>
      </w:pPr>
      <w:r w:rsidRPr="00106FDE">
        <w:rPr>
          <w:rFonts w:cs="Tahoma"/>
        </w:rPr>
        <w:t>Lending to the corporate sector in 2013 registered an annual growth of Denar 5,282 million (4.1%), which contributed with 38.0% to the growth in the total lending activity (Annex 6). "Wholesale and retail trade" constitute most of the growth in corporate loans (Annex 11). However, compared to previous years, growth in corporate loans was still slow, but unlike 2012 when its annual growth rate almost halved compared to 2011, in 2013 the slowdown is more moderate (the growth rate decreased by only 0.5 percentage points). This more moderate slowdown was to a large extent due to the change in the strategy of one European banking group at the end of the year, which contributed to half of the monthly growth in the loans to the corporate sector in December (of Denar 3,201 million, or 2.4%). Annex 7 shows the structure of the loans to non-financial entities, by groups of banks</w:t>
      </w:r>
      <w:r w:rsidRPr="00106FDE">
        <w:rPr>
          <w:rFonts w:cs="Tahoma"/>
          <w:bCs/>
        </w:rPr>
        <w:t>.</w:t>
      </w:r>
    </w:p>
    <w:p w:rsidR="007E3713" w:rsidRPr="00106FDE" w:rsidRDefault="007E3713" w:rsidP="007E3713">
      <w:pPr>
        <w:tabs>
          <w:tab w:val="left" w:pos="450"/>
        </w:tabs>
        <w:ind w:firstLine="709"/>
        <w:rPr>
          <w:rFonts w:cs="Tahoma"/>
          <w:bCs/>
        </w:rPr>
      </w:pPr>
    </w:p>
    <w:p w:rsidR="007E3713" w:rsidRPr="00106FDE" w:rsidRDefault="007E3713" w:rsidP="007E3713">
      <w:pPr>
        <w:tabs>
          <w:tab w:val="left" w:pos="450"/>
        </w:tabs>
        <w:ind w:firstLine="709"/>
        <w:rPr>
          <w:rFonts w:cs="Tahoma"/>
          <w:bCs/>
        </w:rPr>
      </w:pPr>
    </w:p>
    <w:p w:rsidR="007E3713" w:rsidRPr="00106FDE" w:rsidRDefault="00803610" w:rsidP="007E3713">
      <w:pPr>
        <w:tabs>
          <w:tab w:val="left" w:pos="450"/>
        </w:tabs>
        <w:ind w:firstLine="544"/>
        <w:rPr>
          <w:rFonts w:cs="Tahoma"/>
          <w:bCs/>
        </w:rPr>
      </w:pPr>
      <w:r>
        <w:rPr>
          <w:rFonts w:cs="Tahoma"/>
          <w:bCs/>
          <w:noProof/>
        </w:rPr>
        <w:lastRenderedPageBreak/>
        <w:pict>
          <v:shape id="_x0000_s1241" type="#_x0000_t202" style="position:absolute;left:0;text-align:left;margin-left:-245.25pt;margin-top:-9.6pt;width:496.75pt;height:165.35pt;z-index:251762688;v-text-anchor:middle" stroked="f" strokecolor="black [3213]">
            <v:textbox style="mso-next-textbox:#_x0000_s1241" inset="0,0,0,0">
              <w:txbxContent>
                <w:p w:rsidR="00280598" w:rsidRPr="00E8302F" w:rsidRDefault="00280598" w:rsidP="007E3713">
                  <w:pPr>
                    <w:pStyle w:val="Caption"/>
                    <w:rPr>
                      <w:rFonts w:cs="Tahoma"/>
                      <w:b w:val="0"/>
                    </w:rPr>
                  </w:pPr>
                  <w:r>
                    <w:t>Chart</w:t>
                  </w:r>
                  <w:r w:rsidRPr="00E8302F">
                    <w:t xml:space="preserve"> </w:t>
                  </w:r>
                  <w:fldSimple w:instr=" SEQ Графикон_бр. \* ARABIC ">
                    <w:r>
                      <w:rPr>
                        <w:noProof/>
                      </w:rPr>
                      <w:t>90</w:t>
                    </w:r>
                  </w:fldSimple>
                  <w:r w:rsidRPr="00E8302F">
                    <w:rPr>
                      <w:rFonts w:cs="Tahoma"/>
                      <w:lang w:val="mk-MK"/>
                    </w:rPr>
                    <w:t xml:space="preserve"> </w:t>
                  </w:r>
                </w:p>
                <w:p w:rsidR="00280598" w:rsidRPr="001162C3" w:rsidRDefault="00280598" w:rsidP="007E3713">
                  <w:pPr>
                    <w:pStyle w:val="Caption"/>
                    <w:rPr>
                      <w:rFonts w:cs="Tahoma"/>
                      <w:b w:val="0"/>
                    </w:rPr>
                  </w:pPr>
                  <w:r>
                    <w:rPr>
                      <w:rFonts w:cs="Tahoma"/>
                    </w:rPr>
                    <w:t xml:space="preserve">Annual change of loans by sector, currency and maturity </w:t>
                  </w:r>
                </w:p>
                <w:p w:rsidR="00280598" w:rsidRDefault="00280598" w:rsidP="007E3713">
                  <w:pPr>
                    <w:rPr>
                      <w:sz w:val="18"/>
                      <w:szCs w:val="18"/>
                    </w:rPr>
                  </w:pPr>
                  <w:r>
                    <w:rPr>
                      <w:sz w:val="18"/>
                      <w:szCs w:val="18"/>
                    </w:rPr>
                    <w:t xml:space="preserve">in % </w:t>
                  </w:r>
                </w:p>
                <w:p w:rsidR="00280598" w:rsidRPr="00A22D2D" w:rsidRDefault="00280598" w:rsidP="007E3713">
                  <w:pPr>
                    <w:rPr>
                      <w:sz w:val="18"/>
                      <w:szCs w:val="18"/>
                    </w:rPr>
                  </w:pPr>
                  <w:r w:rsidRPr="00B8386A">
                    <w:rPr>
                      <w:noProof/>
                    </w:rPr>
                    <w:drawing>
                      <wp:inline distT="0" distB="0" distL="0" distR="0">
                        <wp:extent cx="6296025" cy="1447800"/>
                        <wp:effectExtent l="1905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6597" cy="1450231"/>
                                </a:xfrm>
                                <a:prstGeom prst="rect">
                                  <a:avLst/>
                                </a:prstGeom>
                                <a:noFill/>
                                <a:ln>
                                  <a:noFill/>
                                </a:ln>
                              </pic:spPr>
                            </pic:pic>
                          </a:graphicData>
                        </a:graphic>
                      </wp:inline>
                    </w:drawing>
                  </w:r>
                </w:p>
                <w:p w:rsidR="00280598" w:rsidRPr="00CA060E" w:rsidRDefault="00280598" w:rsidP="007E3713">
                  <w:pPr>
                    <w:rPr>
                      <w:sz w:val="18"/>
                      <w:szCs w:val="18"/>
                    </w:rPr>
                  </w:pPr>
                  <w:r w:rsidRPr="00CA060E">
                    <w:rPr>
                      <w:sz w:val="18"/>
                      <w:szCs w:val="18"/>
                    </w:rPr>
                    <w:t>Source: NBRM, based on data submitted by banks.</w:t>
                  </w:r>
                </w:p>
                <w:p w:rsidR="00280598" w:rsidRPr="001162C3" w:rsidRDefault="00280598" w:rsidP="007E3713">
                  <w:pPr>
                    <w:rPr>
                      <w:sz w:val="18"/>
                      <w:szCs w:val="18"/>
                    </w:rPr>
                  </w:pP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Pr="008476D5" w:rsidRDefault="00280598" w:rsidP="007E3713">
                  <w:pPr>
                    <w:rPr>
                      <w:sz w:val="20"/>
                      <w:szCs w:val="20"/>
                      <w:lang w:val="mk-MK"/>
                    </w:rPr>
                  </w:pPr>
                </w:p>
              </w:txbxContent>
            </v:textbox>
          </v:shape>
        </w:pict>
      </w:r>
    </w:p>
    <w:p w:rsidR="007E3713" w:rsidRPr="00106FDE" w:rsidRDefault="007E3713" w:rsidP="007E3713">
      <w:pPr>
        <w:ind w:firstLine="544"/>
        <w:rPr>
          <w:rFonts w:cs="Tahoma"/>
          <w:bCs/>
        </w:rPr>
      </w:pPr>
    </w:p>
    <w:p w:rsidR="007E3713" w:rsidRPr="00106FDE" w:rsidRDefault="007E3713" w:rsidP="007E3713">
      <w:pPr>
        <w:ind w:firstLine="544"/>
        <w:rPr>
          <w:rFonts w:cs="Tahoma"/>
          <w:bCs/>
        </w:rPr>
      </w:pPr>
    </w:p>
    <w:p w:rsidR="007E3713" w:rsidRPr="00106FDE" w:rsidRDefault="007E3713" w:rsidP="007E3713">
      <w:pPr>
        <w:ind w:firstLine="544"/>
        <w:rPr>
          <w:rFonts w:cs="Tahoma"/>
          <w:bCs/>
        </w:rPr>
      </w:pPr>
    </w:p>
    <w:p w:rsidR="007E3713" w:rsidRPr="00106FDE" w:rsidRDefault="007E3713" w:rsidP="007E3713">
      <w:pPr>
        <w:ind w:firstLine="544"/>
        <w:rPr>
          <w:rFonts w:cs="Tahoma"/>
          <w:bCs/>
        </w:rPr>
      </w:pPr>
    </w:p>
    <w:p w:rsidR="007E3713" w:rsidRPr="00106FDE" w:rsidRDefault="007E3713" w:rsidP="007E3713">
      <w:pPr>
        <w:ind w:firstLine="544"/>
        <w:rPr>
          <w:rFonts w:cs="Tahoma"/>
          <w:bCs/>
        </w:rPr>
      </w:pPr>
    </w:p>
    <w:p w:rsidR="007E3713" w:rsidRPr="00106FDE" w:rsidRDefault="007E3713" w:rsidP="007E3713">
      <w:pPr>
        <w:ind w:firstLine="544"/>
        <w:rPr>
          <w:rFonts w:cs="Tahoma"/>
          <w:bCs/>
        </w:rPr>
      </w:pPr>
    </w:p>
    <w:p w:rsidR="007E3713" w:rsidRPr="00106FDE" w:rsidRDefault="007E3713" w:rsidP="007E3713">
      <w:pPr>
        <w:ind w:firstLine="544"/>
        <w:rPr>
          <w:rFonts w:cs="Tahoma"/>
          <w:bCs/>
        </w:rPr>
      </w:pPr>
    </w:p>
    <w:p w:rsidR="007E3713" w:rsidRPr="00106FDE" w:rsidRDefault="007E3713" w:rsidP="007E3713">
      <w:pPr>
        <w:ind w:firstLine="544"/>
        <w:rPr>
          <w:rFonts w:cs="Tahoma"/>
          <w:bCs/>
        </w:rPr>
      </w:pPr>
    </w:p>
    <w:p w:rsidR="007E3713" w:rsidRPr="00106FDE" w:rsidRDefault="007E3713" w:rsidP="007E3713">
      <w:pPr>
        <w:rPr>
          <w:rFonts w:cs="Tahoma"/>
          <w:bCs/>
        </w:rPr>
      </w:pPr>
    </w:p>
    <w:p w:rsidR="007E3713" w:rsidRPr="00106FDE" w:rsidRDefault="007E3713" w:rsidP="007E3713">
      <w:pPr>
        <w:ind w:firstLine="544"/>
        <w:rPr>
          <w:rFonts w:cs="Tahoma"/>
          <w:bCs/>
        </w:rPr>
      </w:pPr>
    </w:p>
    <w:p w:rsidR="007E3713" w:rsidRPr="00106FDE" w:rsidRDefault="007E3713" w:rsidP="007E3713">
      <w:pPr>
        <w:ind w:firstLine="544"/>
        <w:rPr>
          <w:rFonts w:cs="Tahoma"/>
          <w:bCs/>
        </w:rPr>
      </w:pPr>
    </w:p>
    <w:p w:rsidR="007E3713" w:rsidRPr="00106FDE" w:rsidRDefault="007E3713" w:rsidP="007E3713">
      <w:pPr>
        <w:ind w:firstLine="709"/>
        <w:rPr>
          <w:rFonts w:cs="Tahoma"/>
          <w:bCs/>
        </w:rPr>
      </w:pPr>
      <w:r w:rsidRPr="00106FDE">
        <w:rPr>
          <w:rFonts w:cs="Tahoma"/>
          <w:bCs/>
        </w:rPr>
        <w:t>In 2013, most of the growth in the lending activity (88.8%) resulted from the increased lending in domestic currency. Denar loans registered a significant increase of Denar 12,352 million (or 12.8%), where the contribution of enterprises (63.7%) was higher than the contribution of households (36.5%). Denarization in the lending activity is closely related to the same process with deposits as the main source of funding of the banking activities. Denarization is perceived also through the slower growth of Denar loans with FX clause (Denar 1.970 million), which is based entirely on the "household" sector</w:t>
      </w:r>
      <w:r w:rsidRPr="00106FDE">
        <w:rPr>
          <w:rStyle w:val="FootnoteReference"/>
          <w:rFonts w:cs="Tahoma"/>
          <w:bCs/>
        </w:rPr>
        <w:footnoteReference w:id="72"/>
      </w:r>
      <w:r w:rsidRPr="00106FDE">
        <w:rPr>
          <w:rFonts w:cs="Tahoma"/>
          <w:bCs/>
        </w:rPr>
        <w:t xml:space="preserve"> and the reduction in the foreign currency loans (of Denar 416 million), which was most pronounced among households (Annex 8).  </w:t>
      </w:r>
    </w:p>
    <w:p w:rsidR="007E3713" w:rsidRPr="00106FDE" w:rsidRDefault="00803610" w:rsidP="007E3713">
      <w:pPr>
        <w:ind w:firstLine="544"/>
        <w:rPr>
          <w:rFonts w:cs="Tahoma"/>
          <w:bCs/>
        </w:rPr>
      </w:pPr>
      <w:r>
        <w:rPr>
          <w:rFonts w:cs="Tahoma"/>
          <w:bCs/>
          <w:noProof/>
        </w:rPr>
        <w:pict>
          <v:shape id="_x0000_s1242" type="#_x0000_t202" style="position:absolute;left:0;text-align:left;margin-left:-241.4pt;margin-top:6.1pt;width:503.9pt;height:163.05pt;z-index:251763712;v-text-anchor:middle" stroked="f" strokecolor="black [3213]">
            <v:textbox style="mso-next-textbox:#_x0000_s1242" inset="0,0,0,0">
              <w:txbxContent>
                <w:p w:rsidR="00280598" w:rsidRPr="00E8302F" w:rsidRDefault="00280598" w:rsidP="007E3713">
                  <w:pPr>
                    <w:pStyle w:val="Caption"/>
                    <w:rPr>
                      <w:rFonts w:cs="Tahoma"/>
                      <w:b w:val="0"/>
                    </w:rPr>
                  </w:pPr>
                  <w:r>
                    <w:t>Chart</w:t>
                  </w:r>
                  <w:r w:rsidRPr="00E8302F">
                    <w:t xml:space="preserve"> </w:t>
                  </w:r>
                  <w:fldSimple w:instr=" SEQ Графикон_бр. \* ARABIC ">
                    <w:r>
                      <w:rPr>
                        <w:noProof/>
                      </w:rPr>
                      <w:t>91</w:t>
                    </w:r>
                  </w:fldSimple>
                  <w:r w:rsidRPr="00E8302F">
                    <w:rPr>
                      <w:rFonts w:cs="Tahoma"/>
                      <w:lang w:val="mk-MK"/>
                    </w:rPr>
                    <w:t xml:space="preserve"> </w:t>
                  </w:r>
                </w:p>
                <w:p w:rsidR="00280598" w:rsidRPr="001162C3" w:rsidRDefault="00280598" w:rsidP="007E3713">
                  <w:pPr>
                    <w:pStyle w:val="Caption"/>
                    <w:rPr>
                      <w:rFonts w:cs="Tahoma"/>
                      <w:b w:val="0"/>
                    </w:rPr>
                  </w:pPr>
                  <w:r>
                    <w:rPr>
                      <w:rFonts w:cs="Tahoma"/>
                    </w:rPr>
                    <w:t xml:space="preserve">Structure of loans by sector, currency and maturity </w:t>
                  </w:r>
                </w:p>
                <w:p w:rsidR="00280598" w:rsidRDefault="00280598" w:rsidP="007E3713">
                  <w:pPr>
                    <w:rPr>
                      <w:sz w:val="18"/>
                      <w:szCs w:val="18"/>
                    </w:rPr>
                  </w:pPr>
                  <w:r>
                    <w:rPr>
                      <w:sz w:val="18"/>
                      <w:szCs w:val="18"/>
                    </w:rPr>
                    <w:t xml:space="preserve">in % </w:t>
                  </w:r>
                </w:p>
                <w:p w:rsidR="00280598" w:rsidRPr="00A22D2D" w:rsidRDefault="00280598" w:rsidP="007E3713">
                  <w:pPr>
                    <w:rPr>
                      <w:sz w:val="18"/>
                      <w:szCs w:val="18"/>
                    </w:rPr>
                  </w:pPr>
                  <w:r w:rsidRPr="005909E1">
                    <w:rPr>
                      <w:noProof/>
                    </w:rPr>
                    <w:drawing>
                      <wp:inline distT="0" distB="0" distL="0" distR="0">
                        <wp:extent cx="6267450" cy="1409700"/>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4330" cy="1415746"/>
                                </a:xfrm>
                                <a:prstGeom prst="rect">
                                  <a:avLst/>
                                </a:prstGeom>
                                <a:noFill/>
                                <a:ln>
                                  <a:noFill/>
                                </a:ln>
                              </pic:spPr>
                            </pic:pic>
                          </a:graphicData>
                        </a:graphic>
                      </wp:inline>
                    </w:drawing>
                  </w:r>
                </w:p>
                <w:p w:rsidR="00280598" w:rsidRPr="00CA060E" w:rsidRDefault="00280598" w:rsidP="007E3713">
                  <w:pPr>
                    <w:rPr>
                      <w:sz w:val="18"/>
                      <w:szCs w:val="18"/>
                    </w:rPr>
                  </w:pPr>
                  <w:r w:rsidRPr="00CA060E">
                    <w:rPr>
                      <w:sz w:val="18"/>
                      <w:szCs w:val="18"/>
                    </w:rPr>
                    <w:t>Source: NBRM, based on data submitted by banks.</w:t>
                  </w:r>
                </w:p>
                <w:p w:rsidR="00280598" w:rsidRPr="001162C3" w:rsidRDefault="00280598" w:rsidP="007E3713">
                  <w:pPr>
                    <w:rPr>
                      <w:sz w:val="18"/>
                      <w:szCs w:val="18"/>
                    </w:rPr>
                  </w:pP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Pr="008476D5" w:rsidRDefault="00280598" w:rsidP="007E3713">
                  <w:pPr>
                    <w:rPr>
                      <w:sz w:val="20"/>
                      <w:szCs w:val="20"/>
                      <w:lang w:val="mk-MK"/>
                    </w:rPr>
                  </w:pPr>
                </w:p>
              </w:txbxContent>
            </v:textbox>
          </v:shape>
        </w:pict>
      </w:r>
    </w:p>
    <w:p w:rsidR="007E3713" w:rsidRPr="00106FDE" w:rsidRDefault="007E3713" w:rsidP="007E3713">
      <w:pPr>
        <w:ind w:firstLine="544"/>
        <w:rPr>
          <w:rFonts w:cs="Tahoma"/>
          <w:bCs/>
        </w:rPr>
      </w:pPr>
    </w:p>
    <w:p w:rsidR="007E3713" w:rsidRPr="00106FDE" w:rsidRDefault="007E3713" w:rsidP="007E3713">
      <w:pPr>
        <w:ind w:firstLine="544"/>
        <w:rPr>
          <w:rFonts w:cs="Tahoma"/>
          <w:bCs/>
        </w:rPr>
      </w:pPr>
    </w:p>
    <w:p w:rsidR="007E3713" w:rsidRPr="00106FDE" w:rsidRDefault="007E3713" w:rsidP="007E3713">
      <w:pPr>
        <w:ind w:firstLine="544"/>
        <w:rPr>
          <w:rFonts w:cs="Tahoma"/>
          <w:bCs/>
        </w:rPr>
      </w:pPr>
    </w:p>
    <w:p w:rsidR="007E3713" w:rsidRPr="00106FDE" w:rsidRDefault="007E3713" w:rsidP="007E3713">
      <w:pPr>
        <w:ind w:firstLine="544"/>
        <w:rPr>
          <w:rFonts w:cs="Tahoma"/>
          <w:bCs/>
        </w:rPr>
      </w:pPr>
    </w:p>
    <w:p w:rsidR="007E3713" w:rsidRPr="00106FDE" w:rsidRDefault="007E3713" w:rsidP="007E3713">
      <w:pPr>
        <w:ind w:firstLine="544"/>
        <w:rPr>
          <w:rFonts w:cs="Tahoma"/>
          <w:bCs/>
        </w:rPr>
      </w:pPr>
    </w:p>
    <w:p w:rsidR="007E3713" w:rsidRPr="00106FDE" w:rsidRDefault="007E3713" w:rsidP="007E3713">
      <w:pPr>
        <w:ind w:firstLine="544"/>
        <w:rPr>
          <w:rFonts w:cs="Tahoma"/>
          <w:bCs/>
        </w:rPr>
      </w:pPr>
    </w:p>
    <w:p w:rsidR="007E3713" w:rsidRPr="00106FDE" w:rsidRDefault="007E3713" w:rsidP="007E3713">
      <w:pPr>
        <w:ind w:firstLine="544"/>
        <w:rPr>
          <w:rFonts w:cs="Tahoma"/>
          <w:bCs/>
        </w:rPr>
      </w:pPr>
    </w:p>
    <w:p w:rsidR="007E3713" w:rsidRPr="00106FDE" w:rsidRDefault="007E3713" w:rsidP="007E3713">
      <w:pPr>
        <w:ind w:firstLine="544"/>
        <w:rPr>
          <w:rFonts w:cs="Tahoma"/>
          <w:bCs/>
        </w:rPr>
      </w:pPr>
    </w:p>
    <w:p w:rsidR="007E3713" w:rsidRPr="00106FDE" w:rsidRDefault="007E3713" w:rsidP="007E3713">
      <w:pPr>
        <w:ind w:firstLine="544"/>
        <w:rPr>
          <w:rFonts w:cs="Tahoma"/>
          <w:bCs/>
        </w:rPr>
      </w:pPr>
    </w:p>
    <w:p w:rsidR="007E3713" w:rsidRPr="00106FDE" w:rsidRDefault="007E3713" w:rsidP="007E3713">
      <w:pPr>
        <w:ind w:firstLine="544"/>
        <w:rPr>
          <w:rFonts w:cs="Tahoma"/>
          <w:bCs/>
        </w:rPr>
      </w:pPr>
    </w:p>
    <w:p w:rsidR="007E3713" w:rsidRPr="00106FDE" w:rsidRDefault="007E3713" w:rsidP="007E3713">
      <w:pPr>
        <w:ind w:firstLine="544"/>
        <w:rPr>
          <w:rFonts w:cs="Tahoma"/>
          <w:bCs/>
        </w:rPr>
      </w:pPr>
    </w:p>
    <w:p w:rsidR="007E3713" w:rsidRPr="00106FDE" w:rsidRDefault="007E3713" w:rsidP="00C34765">
      <w:pPr>
        <w:rPr>
          <w:rFonts w:cs="Tahoma"/>
          <w:bCs/>
        </w:rPr>
      </w:pPr>
    </w:p>
    <w:p w:rsidR="007E3713" w:rsidRPr="00106FDE" w:rsidRDefault="007E3713" w:rsidP="007E3713">
      <w:pPr>
        <w:ind w:firstLine="709"/>
        <w:rPr>
          <w:rFonts w:cs="Tahoma"/>
          <w:bCs/>
        </w:rPr>
      </w:pPr>
      <w:r w:rsidRPr="00106FDE">
        <w:rPr>
          <w:rFonts w:cs="Tahoma"/>
          <w:bCs/>
        </w:rPr>
        <w:t xml:space="preserve">Long-term lending prevails in the structure of loans to non-financial entities in 2013. The growth of long-term loans of Denar 8,071 million entirely stems from the "household" sector. The </w:t>
      </w:r>
      <w:r w:rsidRPr="00106FDE">
        <w:rPr>
          <w:rFonts w:cs="Tahoma"/>
          <w:bCs/>
        </w:rPr>
        <w:lastRenderedPageBreak/>
        <w:t>macroprudential measure of the National Bank to facilitate the regulation on liquidity risk management</w:t>
      </w:r>
      <w:r w:rsidRPr="00106FDE">
        <w:rPr>
          <w:rStyle w:val="FootnoteReference"/>
          <w:rFonts w:cs="Tahoma"/>
          <w:bCs/>
        </w:rPr>
        <w:footnoteReference w:id="73"/>
      </w:r>
      <w:r w:rsidRPr="00106FDE">
        <w:rPr>
          <w:rFonts w:cs="Tahoma"/>
          <w:bCs/>
        </w:rPr>
        <w:t xml:space="preserve"> should, in the medium term, contribute to increase the room for long-term lending. </w:t>
      </w:r>
    </w:p>
    <w:p w:rsidR="007E3713" w:rsidRPr="00106FDE" w:rsidRDefault="007E3713" w:rsidP="007E3713">
      <w:pPr>
        <w:ind w:firstLine="709"/>
        <w:rPr>
          <w:rFonts w:cs="Tahoma"/>
          <w:bCs/>
        </w:rPr>
      </w:pPr>
    </w:p>
    <w:p w:rsidR="007E3713" w:rsidRPr="00106FDE" w:rsidRDefault="007E3713" w:rsidP="007E3713">
      <w:pPr>
        <w:ind w:firstLine="709"/>
        <w:rPr>
          <w:rFonts w:cs="Tahoma"/>
          <w:bCs/>
        </w:rPr>
      </w:pPr>
      <w:r w:rsidRPr="00106FDE">
        <w:rPr>
          <w:rFonts w:cs="Tahoma"/>
          <w:bCs/>
        </w:rPr>
        <w:t>Changes in the non-performing loans are analyzed in section I.1 Credit Risk.</w:t>
      </w:r>
    </w:p>
    <w:p w:rsidR="007E3713" w:rsidRPr="00106FDE" w:rsidRDefault="007E3713" w:rsidP="007E3713">
      <w:pPr>
        <w:ind w:firstLine="709"/>
        <w:rPr>
          <w:rFonts w:cs="Tahoma"/>
          <w:bCs/>
        </w:rPr>
      </w:pPr>
    </w:p>
    <w:p w:rsidR="007E3713" w:rsidRPr="00177381" w:rsidRDefault="007E3713" w:rsidP="00C5550A">
      <w:pPr>
        <w:pStyle w:val="Heading2"/>
      </w:pPr>
      <w:bookmarkStart w:id="81" w:name="_Toc393283609"/>
      <w:r w:rsidRPr="00177381">
        <w:t>Deposits of non-financial entities</w:t>
      </w:r>
      <w:bookmarkEnd w:id="81"/>
    </w:p>
    <w:p w:rsidR="007E3713" w:rsidRPr="00106FDE" w:rsidRDefault="007E3713" w:rsidP="007E3713">
      <w:pPr>
        <w:ind w:firstLine="544"/>
        <w:rPr>
          <w:rFonts w:cs="Tahoma"/>
        </w:rPr>
      </w:pPr>
    </w:p>
    <w:p w:rsidR="007E3713" w:rsidRPr="00106FDE" w:rsidRDefault="00803610" w:rsidP="007E3713">
      <w:pPr>
        <w:ind w:firstLine="709"/>
        <w:rPr>
          <w:rFonts w:cs="Tahoma"/>
        </w:rPr>
      </w:pPr>
      <w:r>
        <w:rPr>
          <w:rFonts w:cs="Tahoma"/>
          <w:noProof/>
        </w:rPr>
        <w:pict>
          <v:shape id="_x0000_s1243" type="#_x0000_t202" style="position:absolute;left:0;text-align:left;margin-left:-228.7pt;margin-top:9.35pt;width:215.3pt;height:183pt;z-index:251764736;v-text-anchor:middle" stroked="f" strokecolor="black [3213]">
            <v:textbox style="mso-next-textbox:#_x0000_s1243" inset="0,0,0,0">
              <w:txbxContent>
                <w:p w:rsidR="00280598" w:rsidRPr="00E8302F" w:rsidRDefault="00280598" w:rsidP="007E3713">
                  <w:pPr>
                    <w:pStyle w:val="Caption"/>
                    <w:rPr>
                      <w:rFonts w:cs="Tahoma"/>
                      <w:b w:val="0"/>
                    </w:rPr>
                  </w:pPr>
                  <w:r>
                    <w:t>Chart</w:t>
                  </w:r>
                  <w:r w:rsidRPr="00E8302F">
                    <w:t xml:space="preserve"> </w:t>
                  </w:r>
                  <w:fldSimple w:instr=" SEQ Графикон_бр. \* ARABIC ">
                    <w:r>
                      <w:rPr>
                        <w:noProof/>
                      </w:rPr>
                      <w:t>92</w:t>
                    </w:r>
                  </w:fldSimple>
                  <w:r w:rsidRPr="00E8302F">
                    <w:rPr>
                      <w:rFonts w:cs="Tahoma"/>
                      <w:lang w:val="mk-MK"/>
                    </w:rPr>
                    <w:t xml:space="preserve"> </w:t>
                  </w:r>
                </w:p>
                <w:p w:rsidR="00280598" w:rsidRPr="001162C3" w:rsidRDefault="00280598" w:rsidP="007E3713">
                  <w:pPr>
                    <w:pStyle w:val="Caption"/>
                    <w:rPr>
                      <w:rFonts w:cs="Tahoma"/>
                      <w:b w:val="0"/>
                    </w:rPr>
                  </w:pPr>
                  <w:r>
                    <w:rPr>
                      <w:rFonts w:cs="Tahoma"/>
                    </w:rPr>
                    <w:t>Deposits</w:t>
                  </w:r>
                </w:p>
                <w:p w:rsidR="00280598" w:rsidRDefault="00280598" w:rsidP="007E3713">
                  <w:pPr>
                    <w:rPr>
                      <w:sz w:val="18"/>
                      <w:szCs w:val="18"/>
                    </w:rPr>
                  </w:pPr>
                  <w:r>
                    <w:rPr>
                      <w:sz w:val="18"/>
                      <w:szCs w:val="18"/>
                    </w:rPr>
                    <w:t xml:space="preserve">In millions of denars </w:t>
                  </w:r>
                </w:p>
                <w:p w:rsidR="00280598" w:rsidRDefault="00280598" w:rsidP="007E3713">
                  <w:pPr>
                    <w:rPr>
                      <w:sz w:val="18"/>
                      <w:szCs w:val="18"/>
                      <w:lang w:val="mk-MK"/>
                    </w:rPr>
                  </w:pPr>
                  <w:r w:rsidRPr="00954A79">
                    <w:rPr>
                      <w:noProof/>
                    </w:rPr>
                    <w:drawing>
                      <wp:inline distT="0" distB="0" distL="0" distR="0">
                        <wp:extent cx="2734733" cy="1642534"/>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4310" cy="1642280"/>
                                </a:xfrm>
                                <a:prstGeom prst="rect">
                                  <a:avLst/>
                                </a:prstGeom>
                                <a:noFill/>
                                <a:ln>
                                  <a:noFill/>
                                </a:ln>
                              </pic:spPr>
                            </pic:pic>
                          </a:graphicData>
                        </a:graphic>
                      </wp:inline>
                    </w:drawing>
                  </w:r>
                </w:p>
                <w:p w:rsidR="00280598" w:rsidRPr="00CA060E" w:rsidRDefault="00280598" w:rsidP="007E3713">
                  <w:pPr>
                    <w:rPr>
                      <w:sz w:val="18"/>
                      <w:szCs w:val="18"/>
                    </w:rPr>
                  </w:pPr>
                  <w:r w:rsidRPr="00CA060E">
                    <w:rPr>
                      <w:sz w:val="18"/>
                      <w:szCs w:val="18"/>
                    </w:rPr>
                    <w:t>Source: NBRM, based on data submitted by banks.</w:t>
                  </w:r>
                </w:p>
                <w:p w:rsidR="00280598" w:rsidRPr="001162C3" w:rsidRDefault="00280598" w:rsidP="007E3713">
                  <w:pPr>
                    <w:rPr>
                      <w:sz w:val="18"/>
                      <w:szCs w:val="18"/>
                    </w:rPr>
                  </w:pP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Pr="008476D5" w:rsidRDefault="00280598" w:rsidP="007E3713">
                  <w:pPr>
                    <w:rPr>
                      <w:sz w:val="20"/>
                      <w:szCs w:val="20"/>
                      <w:lang w:val="mk-MK"/>
                    </w:rPr>
                  </w:pPr>
                </w:p>
              </w:txbxContent>
            </v:textbox>
          </v:shape>
        </w:pict>
      </w:r>
      <w:r w:rsidR="007E3713" w:rsidRPr="00106FDE">
        <w:rPr>
          <w:rFonts w:cs="Tahoma"/>
        </w:rPr>
        <w:t>In 2013, deposits of the non-financial sector grew rapidly. Deposits of non-financial entities registered an annual growth of Denar 13,927 million and acceleration of the growth rate by 0.9 percentage points (the annual deposit growth amounted to 5.7%). The growth in the banks' deposit potential continued in the first two months of 2014 (as of February 2014, the annual deposit growth rate accelerated and equaled 5.9%).</w:t>
      </w:r>
    </w:p>
    <w:p w:rsidR="007E3713" w:rsidRPr="00106FDE" w:rsidRDefault="007E3713" w:rsidP="007E3713">
      <w:pPr>
        <w:ind w:firstLine="709"/>
        <w:rPr>
          <w:rFonts w:cs="Tahoma"/>
        </w:rPr>
      </w:pPr>
      <w:r w:rsidRPr="00106FDE">
        <w:rPr>
          <w:rFonts w:cs="Tahoma"/>
        </w:rPr>
        <w:t xml:space="preserve"> </w:t>
      </w:r>
    </w:p>
    <w:p w:rsidR="007E3713" w:rsidRPr="00106FDE" w:rsidRDefault="00803610" w:rsidP="007E3713">
      <w:pPr>
        <w:ind w:firstLine="709"/>
        <w:rPr>
          <w:rFonts w:cs="Tahoma"/>
        </w:rPr>
      </w:pPr>
      <w:r>
        <w:rPr>
          <w:rFonts w:cs="Tahoma"/>
          <w:noProof/>
        </w:rPr>
        <w:pict>
          <v:shape id="_x0000_s1244" type="#_x0000_t202" style="position:absolute;left:0;text-align:left;margin-left:-228.7pt;margin-top:50.8pt;width:215.3pt;height:194.25pt;z-index:251765760;v-text-anchor:middle" stroked="f" strokecolor="black [3213]">
            <v:textbox style="mso-next-textbox:#_x0000_s1244" inset="0,0,0,0">
              <w:txbxContent>
                <w:p w:rsidR="00280598" w:rsidRPr="00E8302F" w:rsidRDefault="00280598" w:rsidP="007E3713">
                  <w:pPr>
                    <w:pStyle w:val="Caption"/>
                    <w:rPr>
                      <w:rFonts w:cs="Tahoma"/>
                      <w:b w:val="0"/>
                    </w:rPr>
                  </w:pPr>
                  <w:r>
                    <w:t>Chart</w:t>
                  </w:r>
                  <w:r w:rsidRPr="00E8302F">
                    <w:t xml:space="preserve"> </w:t>
                  </w:r>
                  <w:fldSimple w:instr=" SEQ Графикон_бр. \* ARABIC ">
                    <w:r>
                      <w:rPr>
                        <w:noProof/>
                      </w:rPr>
                      <w:t>93</w:t>
                    </w:r>
                  </w:fldSimple>
                  <w:r w:rsidRPr="00E8302F">
                    <w:rPr>
                      <w:rFonts w:cs="Tahoma"/>
                      <w:lang w:val="mk-MK"/>
                    </w:rPr>
                    <w:t xml:space="preserve"> </w:t>
                  </w:r>
                </w:p>
                <w:p w:rsidR="00280598" w:rsidRPr="001162C3" w:rsidRDefault="00280598" w:rsidP="007E3713">
                  <w:pPr>
                    <w:pStyle w:val="Caption"/>
                    <w:rPr>
                      <w:rFonts w:cs="Tahoma"/>
                      <w:b w:val="0"/>
                    </w:rPr>
                  </w:pPr>
                  <w:r>
                    <w:rPr>
                      <w:rFonts w:cs="Tahoma"/>
                    </w:rPr>
                    <w:t>Annual change of deposits of nonfinancial entities</w:t>
                  </w:r>
                </w:p>
                <w:p w:rsidR="00280598" w:rsidRDefault="00280598" w:rsidP="007E3713">
                  <w:pPr>
                    <w:rPr>
                      <w:sz w:val="18"/>
                      <w:szCs w:val="18"/>
                    </w:rPr>
                  </w:pPr>
                  <w:r>
                    <w:rPr>
                      <w:sz w:val="18"/>
                      <w:szCs w:val="18"/>
                    </w:rPr>
                    <w:t xml:space="preserve">In millions of denars </w:t>
                  </w:r>
                </w:p>
                <w:p w:rsidR="00280598" w:rsidRDefault="00280598" w:rsidP="007E3713">
                  <w:pPr>
                    <w:rPr>
                      <w:sz w:val="18"/>
                      <w:szCs w:val="18"/>
                      <w:lang w:val="mk-MK"/>
                    </w:rPr>
                  </w:pPr>
                  <w:r w:rsidRPr="00B12C52">
                    <w:rPr>
                      <w:noProof/>
                    </w:rPr>
                    <w:drawing>
                      <wp:inline distT="0" distB="0" distL="0" distR="0">
                        <wp:extent cx="2729183" cy="1659467"/>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4310" cy="1662585"/>
                                </a:xfrm>
                                <a:prstGeom prst="rect">
                                  <a:avLst/>
                                </a:prstGeom>
                                <a:noFill/>
                                <a:ln>
                                  <a:noFill/>
                                </a:ln>
                              </pic:spPr>
                            </pic:pic>
                          </a:graphicData>
                        </a:graphic>
                      </wp:inline>
                    </w:drawing>
                  </w:r>
                </w:p>
                <w:p w:rsidR="00280598" w:rsidRPr="00CA060E" w:rsidRDefault="00280598" w:rsidP="007E3713">
                  <w:pPr>
                    <w:rPr>
                      <w:sz w:val="18"/>
                      <w:szCs w:val="18"/>
                    </w:rPr>
                  </w:pPr>
                  <w:r w:rsidRPr="00CA060E">
                    <w:rPr>
                      <w:sz w:val="18"/>
                      <w:szCs w:val="18"/>
                    </w:rPr>
                    <w:t>Source: NBRM, based on data submitted by banks.</w:t>
                  </w:r>
                </w:p>
                <w:p w:rsidR="00280598" w:rsidRPr="001162C3" w:rsidRDefault="00280598" w:rsidP="007E3713">
                  <w:pPr>
                    <w:rPr>
                      <w:sz w:val="18"/>
                      <w:szCs w:val="18"/>
                    </w:rPr>
                  </w:pP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Pr="008476D5" w:rsidRDefault="00280598" w:rsidP="007E3713">
                  <w:pPr>
                    <w:rPr>
                      <w:sz w:val="20"/>
                      <w:szCs w:val="20"/>
                      <w:lang w:val="mk-MK"/>
                    </w:rPr>
                  </w:pPr>
                </w:p>
              </w:txbxContent>
            </v:textbox>
          </v:shape>
        </w:pict>
      </w:r>
      <w:r w:rsidR="007E3713" w:rsidRPr="00106FDE">
        <w:rPr>
          <w:rFonts w:cs="Tahoma"/>
        </w:rPr>
        <w:t>Generators of the deposit growth in 2013 were households, whose deposits increased by Denar 11,864 million on an annual basis and contributed with 85.2% to the growth in total deposits. Most of the growth (60.5%) of household deposits was a result of Denar long-term deposits, while a smaller portion (32.3%) came from the foreign currency long-term deposits (Annexes 12 and 14).</w:t>
      </w:r>
    </w:p>
    <w:p w:rsidR="007E3713" w:rsidRPr="00106FDE" w:rsidRDefault="007E3713" w:rsidP="007E3713">
      <w:pPr>
        <w:ind w:firstLine="709"/>
        <w:rPr>
          <w:rFonts w:cs="Tahoma"/>
        </w:rPr>
      </w:pPr>
    </w:p>
    <w:p w:rsidR="007E3713" w:rsidRPr="00106FDE" w:rsidRDefault="007E3713" w:rsidP="007E3713">
      <w:pPr>
        <w:ind w:firstLine="709"/>
        <w:rPr>
          <w:rFonts w:cs="Tahoma"/>
        </w:rPr>
      </w:pPr>
      <w:r w:rsidRPr="00106FDE">
        <w:rPr>
          <w:rFonts w:cs="Tahoma"/>
        </w:rPr>
        <w:t>In contrast to the negative growth rate in the previous year, in 2013, corporate deposits increased by Denar 1,868 million, which was entirely due to the corporate Denar deposits</w:t>
      </w:r>
      <w:r w:rsidRPr="00106FDE">
        <w:rPr>
          <w:rStyle w:val="FootnoteReference"/>
          <w:rFonts w:cs="Tahoma"/>
        </w:rPr>
        <w:footnoteReference w:id="74"/>
      </w:r>
      <w:r w:rsidRPr="00106FDE">
        <w:rPr>
          <w:rFonts w:cs="Tahoma"/>
        </w:rPr>
        <w:t>.</w:t>
      </w:r>
    </w:p>
    <w:p w:rsidR="007E3713" w:rsidRPr="00106FDE" w:rsidRDefault="007E3713" w:rsidP="007E3713">
      <w:pPr>
        <w:ind w:firstLine="709"/>
        <w:rPr>
          <w:rFonts w:cs="Tahoma"/>
        </w:rPr>
      </w:pPr>
    </w:p>
    <w:p w:rsidR="007E3713" w:rsidRPr="00106FDE" w:rsidRDefault="007E3713" w:rsidP="007E3713">
      <w:pPr>
        <w:ind w:firstLine="709"/>
        <w:rPr>
          <w:rFonts w:cs="Tahoma"/>
        </w:rPr>
      </w:pPr>
      <w:r w:rsidRPr="00106FDE">
        <w:rPr>
          <w:rFonts w:cs="Tahoma"/>
        </w:rPr>
        <w:t xml:space="preserve">In 2013, Denar savings still had the largest share in the total deposit base of the banking system and its annual growth. Denar deposits registered a significant growth in the </w:t>
      </w:r>
      <w:r w:rsidRPr="00106FDE">
        <w:rPr>
          <w:rFonts w:cs="Tahoma"/>
        </w:rPr>
        <w:lastRenderedPageBreak/>
        <w:t xml:space="preserve">amount of Denar 14,456 million, in which the contribution of households and companies was 61.8% and 38.0%, respectively. Foreign currency deposits increased by Denar 516 million, largely as a result of long-term foreign currency deposits of households. On the other hand, Denar deposits with foreign currency clause fell by Denar 1.045 million, for the most part (91.1%) due to lower corporate short-term Denar deposits with foreign currency clause with one bank. </w:t>
      </w:r>
    </w:p>
    <w:p w:rsidR="007E3713" w:rsidRPr="00106FDE" w:rsidRDefault="00803610" w:rsidP="007E3713">
      <w:pPr>
        <w:rPr>
          <w:rFonts w:cs="Tahoma"/>
        </w:rPr>
      </w:pPr>
      <w:r>
        <w:rPr>
          <w:rFonts w:cs="Tahoma"/>
          <w:noProof/>
        </w:rPr>
        <w:pict>
          <v:shape id="_x0000_s1245" type="#_x0000_t202" style="position:absolute;left:0;text-align:left;margin-left:-234pt;margin-top:9pt;width:483.75pt;height:174pt;z-index:251766784;v-text-anchor:middle" stroked="f" strokecolor="black [3213]">
            <v:textbox style="mso-next-textbox:#_x0000_s1245" inset="0,0,0,0">
              <w:txbxContent>
                <w:p w:rsidR="00280598" w:rsidRPr="00E8302F" w:rsidRDefault="00280598" w:rsidP="007E3713">
                  <w:pPr>
                    <w:pStyle w:val="Caption"/>
                    <w:rPr>
                      <w:rFonts w:cs="Tahoma"/>
                      <w:b w:val="0"/>
                    </w:rPr>
                  </w:pPr>
                  <w:r>
                    <w:t>Chart</w:t>
                  </w:r>
                  <w:r w:rsidRPr="00E8302F">
                    <w:t xml:space="preserve"> </w:t>
                  </w:r>
                  <w:fldSimple w:instr=" SEQ Графикон_бр. \* ARABIC ">
                    <w:r>
                      <w:rPr>
                        <w:noProof/>
                      </w:rPr>
                      <w:t>94</w:t>
                    </w:r>
                  </w:fldSimple>
                  <w:r w:rsidRPr="00E8302F">
                    <w:rPr>
                      <w:rFonts w:cs="Tahoma"/>
                      <w:lang w:val="mk-MK"/>
                    </w:rPr>
                    <w:t xml:space="preserve"> </w:t>
                  </w:r>
                </w:p>
                <w:p w:rsidR="00280598" w:rsidRPr="001162C3" w:rsidRDefault="00280598" w:rsidP="007E3713">
                  <w:pPr>
                    <w:pStyle w:val="Caption"/>
                    <w:rPr>
                      <w:rFonts w:cs="Tahoma"/>
                      <w:b w:val="0"/>
                    </w:rPr>
                  </w:pPr>
                  <w:r>
                    <w:rPr>
                      <w:rFonts w:cs="Tahoma"/>
                    </w:rPr>
                    <w:t xml:space="preserve">Annual change of deposits by sector, currency and maturity </w:t>
                  </w:r>
                </w:p>
                <w:p w:rsidR="00280598" w:rsidRDefault="00280598" w:rsidP="007E3713">
                  <w:pPr>
                    <w:rPr>
                      <w:sz w:val="18"/>
                      <w:szCs w:val="18"/>
                    </w:rPr>
                  </w:pPr>
                  <w:r>
                    <w:rPr>
                      <w:sz w:val="18"/>
                      <w:szCs w:val="18"/>
                    </w:rPr>
                    <w:t xml:space="preserve">in % </w:t>
                  </w:r>
                </w:p>
                <w:p w:rsidR="00280598" w:rsidRPr="00A22D2D" w:rsidRDefault="00280598" w:rsidP="007E3713">
                  <w:pPr>
                    <w:rPr>
                      <w:sz w:val="18"/>
                      <w:szCs w:val="18"/>
                    </w:rPr>
                  </w:pPr>
                  <w:r w:rsidRPr="00633FD5">
                    <w:rPr>
                      <w:noProof/>
                    </w:rPr>
                    <w:drawing>
                      <wp:inline distT="0" distB="0" distL="0" distR="0">
                        <wp:extent cx="6079067" cy="1591734"/>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8220" cy="1591512"/>
                                </a:xfrm>
                                <a:prstGeom prst="rect">
                                  <a:avLst/>
                                </a:prstGeom>
                                <a:noFill/>
                                <a:ln>
                                  <a:noFill/>
                                </a:ln>
                              </pic:spPr>
                            </pic:pic>
                          </a:graphicData>
                        </a:graphic>
                      </wp:inline>
                    </w:drawing>
                  </w:r>
                </w:p>
                <w:p w:rsidR="00280598" w:rsidRPr="00CA060E" w:rsidRDefault="00280598" w:rsidP="007E3713">
                  <w:pPr>
                    <w:rPr>
                      <w:sz w:val="18"/>
                      <w:szCs w:val="18"/>
                    </w:rPr>
                  </w:pPr>
                  <w:r w:rsidRPr="00CA060E">
                    <w:rPr>
                      <w:sz w:val="18"/>
                      <w:szCs w:val="18"/>
                    </w:rPr>
                    <w:t>Source: NBRM, based on data submitted by banks.</w:t>
                  </w:r>
                </w:p>
                <w:p w:rsidR="00280598" w:rsidRPr="001162C3" w:rsidRDefault="00280598" w:rsidP="007E3713">
                  <w:pPr>
                    <w:rPr>
                      <w:sz w:val="18"/>
                      <w:szCs w:val="18"/>
                    </w:rPr>
                  </w:pP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Pr="008476D5" w:rsidRDefault="00280598" w:rsidP="007E3713">
                  <w:pPr>
                    <w:rPr>
                      <w:sz w:val="20"/>
                      <w:szCs w:val="20"/>
                      <w:lang w:val="mk-MK"/>
                    </w:rPr>
                  </w:pPr>
                </w:p>
              </w:txbxContent>
            </v:textbox>
          </v:shape>
        </w:pict>
      </w:r>
    </w:p>
    <w:p w:rsidR="007E3713" w:rsidRPr="00106FDE" w:rsidRDefault="007E3713" w:rsidP="007E3713">
      <w:pPr>
        <w:tabs>
          <w:tab w:val="left" w:pos="2124"/>
        </w:tabs>
        <w:ind w:firstLine="544"/>
        <w:rPr>
          <w:rFonts w:cs="Tahoma"/>
        </w:rPr>
      </w:pPr>
    </w:p>
    <w:p w:rsidR="007E3713" w:rsidRPr="00106FDE" w:rsidRDefault="007E3713" w:rsidP="007E3713">
      <w:pPr>
        <w:tabs>
          <w:tab w:val="left" w:pos="2124"/>
        </w:tabs>
        <w:ind w:firstLine="544"/>
        <w:rPr>
          <w:rFonts w:cs="Tahoma"/>
        </w:rPr>
      </w:pPr>
    </w:p>
    <w:p w:rsidR="007E3713" w:rsidRPr="00106FDE" w:rsidRDefault="007E3713" w:rsidP="007E3713">
      <w:pPr>
        <w:tabs>
          <w:tab w:val="left" w:pos="2124"/>
        </w:tabs>
        <w:ind w:firstLine="544"/>
        <w:rPr>
          <w:rFonts w:cs="Tahoma"/>
        </w:rPr>
      </w:pPr>
    </w:p>
    <w:p w:rsidR="007E3713" w:rsidRPr="00106FDE" w:rsidRDefault="007E3713" w:rsidP="007E3713">
      <w:pPr>
        <w:tabs>
          <w:tab w:val="left" w:pos="2124"/>
        </w:tabs>
        <w:ind w:firstLine="544"/>
        <w:rPr>
          <w:rFonts w:cs="Tahoma"/>
        </w:rPr>
      </w:pPr>
    </w:p>
    <w:p w:rsidR="007E3713" w:rsidRPr="00106FDE" w:rsidRDefault="007E3713" w:rsidP="007E3713">
      <w:pPr>
        <w:tabs>
          <w:tab w:val="left" w:pos="2124"/>
        </w:tabs>
        <w:ind w:firstLine="544"/>
        <w:rPr>
          <w:rFonts w:cs="Tahoma"/>
        </w:rPr>
      </w:pPr>
    </w:p>
    <w:p w:rsidR="007E3713" w:rsidRPr="00106FDE" w:rsidRDefault="007E3713" w:rsidP="007E3713">
      <w:pPr>
        <w:tabs>
          <w:tab w:val="left" w:pos="2124"/>
        </w:tabs>
        <w:ind w:firstLine="544"/>
        <w:rPr>
          <w:rFonts w:cs="Tahoma"/>
        </w:rPr>
      </w:pPr>
    </w:p>
    <w:p w:rsidR="007E3713" w:rsidRPr="00106FDE" w:rsidRDefault="007E3713" w:rsidP="007E3713">
      <w:pPr>
        <w:tabs>
          <w:tab w:val="left" w:pos="2124"/>
        </w:tabs>
        <w:ind w:firstLine="544"/>
        <w:rPr>
          <w:rFonts w:cs="Tahoma"/>
        </w:rPr>
      </w:pPr>
    </w:p>
    <w:p w:rsidR="007E3713" w:rsidRPr="00106FDE" w:rsidRDefault="007E3713" w:rsidP="007E3713">
      <w:pPr>
        <w:tabs>
          <w:tab w:val="left" w:pos="2124"/>
        </w:tabs>
        <w:ind w:firstLine="544"/>
        <w:rPr>
          <w:rFonts w:cs="Tahoma"/>
        </w:rPr>
      </w:pPr>
    </w:p>
    <w:p w:rsidR="007E3713" w:rsidRPr="00106FDE" w:rsidRDefault="007E3713" w:rsidP="007E3713">
      <w:pPr>
        <w:tabs>
          <w:tab w:val="left" w:pos="2124"/>
        </w:tabs>
        <w:ind w:firstLine="544"/>
        <w:rPr>
          <w:rFonts w:cs="Tahoma"/>
        </w:rPr>
      </w:pPr>
    </w:p>
    <w:p w:rsidR="007E3713" w:rsidRPr="00106FDE" w:rsidRDefault="007E3713" w:rsidP="007E3713">
      <w:pPr>
        <w:tabs>
          <w:tab w:val="left" w:pos="2124"/>
        </w:tabs>
        <w:ind w:firstLine="544"/>
        <w:rPr>
          <w:rFonts w:cs="Tahoma"/>
        </w:rPr>
      </w:pPr>
    </w:p>
    <w:p w:rsidR="007E3713" w:rsidRPr="00106FDE" w:rsidRDefault="007E3713" w:rsidP="007E3713">
      <w:pPr>
        <w:tabs>
          <w:tab w:val="left" w:pos="2124"/>
        </w:tabs>
        <w:ind w:firstLine="544"/>
        <w:rPr>
          <w:rFonts w:cs="Tahoma"/>
        </w:rPr>
      </w:pPr>
    </w:p>
    <w:p w:rsidR="007E3713" w:rsidRPr="00106FDE" w:rsidRDefault="007E3713" w:rsidP="007E3713">
      <w:pPr>
        <w:tabs>
          <w:tab w:val="left" w:pos="2124"/>
        </w:tabs>
        <w:ind w:firstLine="544"/>
        <w:rPr>
          <w:rFonts w:cs="Tahoma"/>
        </w:rPr>
      </w:pPr>
      <w:r w:rsidRPr="00106FDE">
        <w:rPr>
          <w:rFonts w:cs="Tahoma"/>
        </w:rPr>
        <w:tab/>
      </w:r>
    </w:p>
    <w:p w:rsidR="007E3713" w:rsidRPr="00106FDE" w:rsidRDefault="007E3713" w:rsidP="007E3713">
      <w:pPr>
        <w:ind w:firstLine="547"/>
        <w:rPr>
          <w:rFonts w:cs="Tahoma"/>
        </w:rPr>
      </w:pPr>
    </w:p>
    <w:p w:rsidR="007E3713" w:rsidRPr="00106FDE" w:rsidRDefault="007E3713" w:rsidP="007E3713">
      <w:pPr>
        <w:ind w:firstLine="709"/>
        <w:rPr>
          <w:rFonts w:cs="Tahoma"/>
        </w:rPr>
      </w:pPr>
      <w:r w:rsidRPr="00106FDE">
        <w:rPr>
          <w:rFonts w:cs="Tahoma"/>
        </w:rPr>
        <w:t>The propensity of depositors to save in the long run was retained in 2013 and it was the driver of the growth in the total deposit base. Long-term household savings</w:t>
      </w:r>
      <w:r w:rsidRPr="00106FDE">
        <w:rPr>
          <w:rStyle w:val="FootnoteReference"/>
          <w:rFonts w:cs="Tahoma"/>
        </w:rPr>
        <w:footnoteReference w:id="75"/>
      </w:r>
      <w:r w:rsidRPr="00106FDE">
        <w:rPr>
          <w:rFonts w:cs="Tahoma"/>
        </w:rPr>
        <w:t xml:space="preserve"> in domestic currency had the largest contribution to the growth of long-term deposits. The setting of the reserve requirement ratios</w:t>
      </w:r>
      <w:r w:rsidRPr="00106FDE">
        <w:rPr>
          <w:rStyle w:val="FootnoteReference"/>
          <w:rFonts w:cs="Tahoma"/>
        </w:rPr>
        <w:footnoteReference w:id="76"/>
      </w:r>
      <w:r w:rsidRPr="00106FDE">
        <w:rPr>
          <w:rFonts w:cs="Tahoma"/>
        </w:rPr>
        <w:t xml:space="preserve"> and higher interest rates on term deposits also contributed to the increased saving in the long term and in local currency. </w:t>
      </w:r>
    </w:p>
    <w:p w:rsidR="007E3713" w:rsidRPr="00106FDE" w:rsidRDefault="007E3713" w:rsidP="007E3713">
      <w:pPr>
        <w:ind w:firstLine="709"/>
        <w:rPr>
          <w:rFonts w:cs="Tahoma"/>
        </w:rPr>
      </w:pPr>
    </w:p>
    <w:p w:rsidR="007E3713" w:rsidRPr="00106FDE" w:rsidRDefault="007E3713" w:rsidP="007E3713">
      <w:pPr>
        <w:ind w:firstLine="709"/>
        <w:rPr>
          <w:rFonts w:cs="Tahoma"/>
        </w:rPr>
      </w:pPr>
    </w:p>
    <w:p w:rsidR="007E3713" w:rsidRPr="00106FDE" w:rsidRDefault="00803610" w:rsidP="007E3713">
      <w:pPr>
        <w:ind w:firstLine="709"/>
        <w:rPr>
          <w:rFonts w:cs="Tahoma"/>
        </w:rPr>
      </w:pPr>
      <w:r>
        <w:rPr>
          <w:rFonts w:cs="Tahoma"/>
          <w:noProof/>
        </w:rPr>
        <w:lastRenderedPageBreak/>
        <w:pict>
          <v:shape id="_x0000_s1246" type="#_x0000_t202" style="position:absolute;left:0;text-align:left;margin-left:-226.5pt;margin-top:-9.6pt;width:471.75pt;height:173.9pt;z-index:251767808;v-text-anchor:middle" stroked="f" strokecolor="black [3213]">
            <v:textbox style="mso-next-textbox:#_x0000_s1246" inset="0,0,0,0">
              <w:txbxContent>
                <w:p w:rsidR="00280598" w:rsidRPr="00E8302F" w:rsidRDefault="00280598" w:rsidP="007E3713">
                  <w:pPr>
                    <w:pStyle w:val="Caption"/>
                    <w:rPr>
                      <w:rFonts w:cs="Tahoma"/>
                      <w:b w:val="0"/>
                    </w:rPr>
                  </w:pPr>
                  <w:r>
                    <w:t>Chart</w:t>
                  </w:r>
                  <w:r w:rsidRPr="00E8302F">
                    <w:t xml:space="preserve"> </w:t>
                  </w:r>
                  <w:fldSimple w:instr=" SEQ Графикон_бр. \* ARABIC ">
                    <w:r>
                      <w:rPr>
                        <w:noProof/>
                      </w:rPr>
                      <w:t>95</w:t>
                    </w:r>
                  </w:fldSimple>
                  <w:r w:rsidRPr="00E8302F">
                    <w:rPr>
                      <w:rFonts w:cs="Tahoma"/>
                      <w:lang w:val="mk-MK"/>
                    </w:rPr>
                    <w:t xml:space="preserve"> </w:t>
                  </w:r>
                </w:p>
                <w:p w:rsidR="00280598" w:rsidRPr="001162C3" w:rsidRDefault="00280598" w:rsidP="007E3713">
                  <w:pPr>
                    <w:pStyle w:val="Caption"/>
                    <w:rPr>
                      <w:rFonts w:cs="Tahoma"/>
                      <w:b w:val="0"/>
                    </w:rPr>
                  </w:pPr>
                  <w:r>
                    <w:rPr>
                      <w:rFonts w:cs="Tahoma"/>
                    </w:rPr>
                    <w:t xml:space="preserve">Structure of deposits by sector, currency and maturity </w:t>
                  </w:r>
                </w:p>
                <w:p w:rsidR="00280598" w:rsidRDefault="00280598" w:rsidP="007E3713">
                  <w:pPr>
                    <w:rPr>
                      <w:sz w:val="18"/>
                      <w:szCs w:val="18"/>
                    </w:rPr>
                  </w:pPr>
                  <w:r>
                    <w:rPr>
                      <w:sz w:val="18"/>
                      <w:szCs w:val="18"/>
                    </w:rPr>
                    <w:t xml:space="preserve">in % </w:t>
                  </w:r>
                </w:p>
                <w:p w:rsidR="00280598" w:rsidRPr="00A22D2D" w:rsidRDefault="00280598" w:rsidP="007E3713">
                  <w:pPr>
                    <w:rPr>
                      <w:sz w:val="18"/>
                      <w:szCs w:val="18"/>
                    </w:rPr>
                  </w:pPr>
                  <w:r w:rsidRPr="00BD088C">
                    <w:rPr>
                      <w:noProof/>
                    </w:rPr>
                    <w:drawing>
                      <wp:inline distT="0" distB="0" distL="0" distR="0">
                        <wp:extent cx="5935134" cy="15240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8840" cy="1530087"/>
                                </a:xfrm>
                                <a:prstGeom prst="rect">
                                  <a:avLst/>
                                </a:prstGeom>
                                <a:noFill/>
                                <a:ln>
                                  <a:noFill/>
                                </a:ln>
                              </pic:spPr>
                            </pic:pic>
                          </a:graphicData>
                        </a:graphic>
                      </wp:inline>
                    </w:drawing>
                  </w:r>
                </w:p>
                <w:p w:rsidR="00280598" w:rsidRPr="00CA060E" w:rsidRDefault="00280598" w:rsidP="007E3713">
                  <w:pPr>
                    <w:rPr>
                      <w:sz w:val="18"/>
                      <w:szCs w:val="18"/>
                    </w:rPr>
                  </w:pPr>
                  <w:r w:rsidRPr="00CA060E">
                    <w:rPr>
                      <w:sz w:val="18"/>
                      <w:szCs w:val="18"/>
                    </w:rPr>
                    <w:t>Source: NBRM, based on data submitted by banks.</w:t>
                  </w:r>
                </w:p>
                <w:p w:rsidR="00280598" w:rsidRPr="001162C3" w:rsidRDefault="00280598" w:rsidP="007E3713">
                  <w:pPr>
                    <w:rPr>
                      <w:sz w:val="18"/>
                      <w:szCs w:val="18"/>
                    </w:rPr>
                  </w:pP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Pr="008476D5" w:rsidRDefault="00280598" w:rsidP="007E3713">
                  <w:pPr>
                    <w:rPr>
                      <w:sz w:val="20"/>
                      <w:szCs w:val="20"/>
                      <w:lang w:val="mk-MK"/>
                    </w:rPr>
                  </w:pPr>
                </w:p>
              </w:txbxContent>
            </v:textbox>
          </v:shape>
        </w:pict>
      </w:r>
    </w:p>
    <w:p w:rsidR="007E3713" w:rsidRPr="00106FDE" w:rsidRDefault="007E3713" w:rsidP="007E3713">
      <w:pPr>
        <w:ind w:firstLine="547"/>
        <w:rPr>
          <w:rFonts w:cs="Tahoma"/>
        </w:rPr>
      </w:pPr>
    </w:p>
    <w:p w:rsidR="007E3713" w:rsidRPr="00106FDE" w:rsidRDefault="007E3713" w:rsidP="007E3713">
      <w:pPr>
        <w:ind w:firstLine="547"/>
        <w:rPr>
          <w:rFonts w:cs="Tahoma"/>
        </w:rPr>
      </w:pPr>
    </w:p>
    <w:p w:rsidR="007E3713" w:rsidRPr="00106FDE" w:rsidRDefault="007E3713" w:rsidP="007E3713">
      <w:pPr>
        <w:ind w:firstLine="547"/>
        <w:rPr>
          <w:rFonts w:cs="Tahoma"/>
        </w:rPr>
      </w:pPr>
    </w:p>
    <w:p w:rsidR="007E3713" w:rsidRPr="00106FDE" w:rsidRDefault="007E3713" w:rsidP="007E3713">
      <w:pPr>
        <w:ind w:firstLine="547"/>
        <w:rPr>
          <w:rFonts w:cs="Tahoma"/>
        </w:rPr>
      </w:pPr>
    </w:p>
    <w:p w:rsidR="007E3713" w:rsidRPr="00106FDE" w:rsidRDefault="007E3713" w:rsidP="007E3713">
      <w:pPr>
        <w:ind w:firstLine="547"/>
        <w:rPr>
          <w:rFonts w:cs="Tahoma"/>
        </w:rPr>
      </w:pPr>
    </w:p>
    <w:p w:rsidR="007E3713" w:rsidRPr="00106FDE" w:rsidRDefault="007E3713" w:rsidP="007E3713">
      <w:pPr>
        <w:ind w:firstLine="547"/>
        <w:rPr>
          <w:rFonts w:cs="Tahoma"/>
        </w:rPr>
      </w:pPr>
    </w:p>
    <w:p w:rsidR="007E3713" w:rsidRPr="00106FDE" w:rsidRDefault="007E3713" w:rsidP="007E3713">
      <w:pPr>
        <w:ind w:firstLine="547"/>
        <w:rPr>
          <w:rFonts w:cs="Tahoma"/>
        </w:rPr>
      </w:pPr>
    </w:p>
    <w:p w:rsidR="007E3713" w:rsidRPr="00106FDE" w:rsidRDefault="007E3713" w:rsidP="007E3713">
      <w:pPr>
        <w:ind w:firstLine="547"/>
        <w:rPr>
          <w:rFonts w:cs="Tahoma"/>
        </w:rPr>
      </w:pPr>
    </w:p>
    <w:p w:rsidR="007E3713" w:rsidRPr="00106FDE" w:rsidRDefault="007E3713" w:rsidP="007E3713">
      <w:pPr>
        <w:ind w:firstLine="547"/>
        <w:rPr>
          <w:rFonts w:cs="Tahoma"/>
        </w:rPr>
      </w:pPr>
    </w:p>
    <w:p w:rsidR="007E3713" w:rsidRPr="00106FDE" w:rsidRDefault="007E3713" w:rsidP="007E3713">
      <w:pPr>
        <w:ind w:firstLine="547"/>
        <w:rPr>
          <w:rFonts w:cs="Tahoma"/>
        </w:rPr>
      </w:pPr>
    </w:p>
    <w:p w:rsidR="00C62900" w:rsidRDefault="00C62900" w:rsidP="00C62900">
      <w:pPr>
        <w:rPr>
          <w:rFonts w:cs="Tahoma"/>
        </w:rPr>
      </w:pPr>
    </w:p>
    <w:p w:rsidR="007E3713" w:rsidRPr="00106FDE" w:rsidRDefault="00803610" w:rsidP="00C62900">
      <w:pPr>
        <w:rPr>
          <w:rFonts w:cs="Tahoma"/>
        </w:rPr>
      </w:pPr>
      <w:r>
        <w:rPr>
          <w:rFonts w:cs="Tahoma"/>
          <w:noProof/>
        </w:rPr>
        <w:pict>
          <v:shape id="_x0000_s1247" type="#_x0000_t202" style="position:absolute;left:0;text-align:left;margin-left:-231.35pt;margin-top:5pt;width:215.3pt;height:218.25pt;z-index:251768832;v-text-anchor:middle" stroked="f" strokecolor="black [3213]">
            <v:textbox style="mso-next-textbox:#_x0000_s1247" inset="0,0,0,0">
              <w:txbxContent>
                <w:p w:rsidR="00280598" w:rsidRPr="00E8302F" w:rsidRDefault="00280598" w:rsidP="007E3713">
                  <w:pPr>
                    <w:pStyle w:val="Caption"/>
                    <w:rPr>
                      <w:rFonts w:cs="Tahoma"/>
                      <w:b w:val="0"/>
                    </w:rPr>
                  </w:pPr>
                  <w:r>
                    <w:t>Chart</w:t>
                  </w:r>
                  <w:r w:rsidRPr="00E8302F">
                    <w:t xml:space="preserve"> </w:t>
                  </w:r>
                  <w:fldSimple w:instr=" SEQ Графикон_бр. \* ARABIC ">
                    <w:r>
                      <w:rPr>
                        <w:noProof/>
                      </w:rPr>
                      <w:t>96</w:t>
                    </w:r>
                  </w:fldSimple>
                  <w:r w:rsidRPr="00E8302F">
                    <w:rPr>
                      <w:rFonts w:cs="Tahoma"/>
                      <w:lang w:val="mk-MK"/>
                    </w:rPr>
                    <w:t xml:space="preserve"> </w:t>
                  </w:r>
                </w:p>
                <w:p w:rsidR="00280598" w:rsidRPr="001162C3" w:rsidRDefault="00280598" w:rsidP="007E3713">
                  <w:pPr>
                    <w:pStyle w:val="Caption"/>
                    <w:rPr>
                      <w:rFonts w:cs="Tahoma"/>
                      <w:b w:val="0"/>
                    </w:rPr>
                  </w:pPr>
                  <w:r>
                    <w:rPr>
                      <w:rFonts w:cs="Tahoma"/>
                    </w:rPr>
                    <w:t xml:space="preserve">Concentration of deposits of households according to the amount of deposits by person, as of 31.12.2013 </w:t>
                  </w:r>
                </w:p>
                <w:p w:rsidR="00280598" w:rsidRDefault="00280598" w:rsidP="007E3713">
                  <w:pPr>
                    <w:rPr>
                      <w:sz w:val="18"/>
                      <w:szCs w:val="18"/>
                    </w:rPr>
                  </w:pPr>
                  <w:r>
                    <w:rPr>
                      <w:sz w:val="18"/>
                      <w:szCs w:val="18"/>
                    </w:rPr>
                    <w:t xml:space="preserve">In % </w:t>
                  </w:r>
                </w:p>
                <w:p w:rsidR="00280598" w:rsidRDefault="00280598" w:rsidP="007E3713">
                  <w:pPr>
                    <w:rPr>
                      <w:sz w:val="18"/>
                      <w:szCs w:val="18"/>
                      <w:lang w:val="mk-MK"/>
                    </w:rPr>
                  </w:pPr>
                  <w:r w:rsidRPr="008C509A">
                    <w:rPr>
                      <w:noProof/>
                    </w:rPr>
                    <w:drawing>
                      <wp:inline distT="0" distB="0" distL="0" distR="0">
                        <wp:extent cx="2734310" cy="1803009"/>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4310" cy="1803009"/>
                                </a:xfrm>
                                <a:prstGeom prst="rect">
                                  <a:avLst/>
                                </a:prstGeom>
                                <a:noFill/>
                                <a:ln>
                                  <a:noFill/>
                                </a:ln>
                              </pic:spPr>
                            </pic:pic>
                          </a:graphicData>
                        </a:graphic>
                      </wp:inline>
                    </w:drawing>
                  </w:r>
                </w:p>
                <w:p w:rsidR="00280598" w:rsidRPr="00CA060E" w:rsidRDefault="00280598" w:rsidP="007E3713">
                  <w:pPr>
                    <w:rPr>
                      <w:sz w:val="18"/>
                      <w:szCs w:val="18"/>
                    </w:rPr>
                  </w:pPr>
                  <w:r w:rsidRPr="00CA060E">
                    <w:rPr>
                      <w:sz w:val="18"/>
                      <w:szCs w:val="18"/>
                    </w:rPr>
                    <w:t>Source: NBRM, based on data submitted by banks.</w:t>
                  </w:r>
                </w:p>
                <w:p w:rsidR="00280598" w:rsidRPr="001162C3" w:rsidRDefault="00280598" w:rsidP="007E3713">
                  <w:pPr>
                    <w:rPr>
                      <w:sz w:val="18"/>
                      <w:szCs w:val="18"/>
                    </w:rPr>
                  </w:pP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Default="00280598" w:rsidP="007E3713">
                  <w:pPr>
                    <w:rPr>
                      <w:lang w:val="mk-MK"/>
                    </w:rPr>
                  </w:pPr>
                </w:p>
                <w:p w:rsidR="00280598" w:rsidRPr="008476D5" w:rsidRDefault="00280598" w:rsidP="007E3713">
                  <w:pPr>
                    <w:rPr>
                      <w:sz w:val="20"/>
                      <w:szCs w:val="20"/>
                      <w:lang w:val="mk-MK"/>
                    </w:rPr>
                  </w:pPr>
                </w:p>
              </w:txbxContent>
            </v:textbox>
          </v:shape>
        </w:pict>
      </w:r>
    </w:p>
    <w:p w:rsidR="007E3713" w:rsidRPr="00106FDE" w:rsidRDefault="007E3713" w:rsidP="007E3713">
      <w:pPr>
        <w:ind w:firstLine="709"/>
        <w:rPr>
          <w:rFonts w:cs="Tahoma"/>
        </w:rPr>
      </w:pPr>
      <w:r w:rsidRPr="00106FDE">
        <w:rPr>
          <w:rFonts w:cs="Tahoma"/>
        </w:rPr>
        <w:t>Sight deposits increased by Denar 6,495 million, of which 53.7% were due to household deposits and 42.8% to corporate deposits. In contrast, short-term deposits decreased by Denar 5,246 million, which almost entirely (94.7%) resulted from the lower short-term foreign currency deposits (the contribution of enterprises is 54.2%, while the contribution of households is 40.1%) (Annexes 12 and 14).</w:t>
      </w:r>
    </w:p>
    <w:p w:rsidR="007E3713" w:rsidRPr="00106FDE" w:rsidRDefault="007E3713" w:rsidP="007E3713">
      <w:pPr>
        <w:ind w:firstLine="709"/>
        <w:rPr>
          <w:rFonts w:cs="Tahoma"/>
        </w:rPr>
      </w:pPr>
    </w:p>
    <w:p w:rsidR="007E3713" w:rsidRPr="00106FDE" w:rsidRDefault="007E3713" w:rsidP="007E3713">
      <w:pPr>
        <w:ind w:firstLine="709"/>
        <w:rPr>
          <w:rFonts w:cs="Tahoma"/>
        </w:rPr>
      </w:pPr>
      <w:r w:rsidRPr="00106FDE">
        <w:rPr>
          <w:rFonts w:cs="Tahoma"/>
        </w:rPr>
        <w:t xml:space="preserve">As of December 31, 2013, the majority (54.9%) of individual term deposits of households amounted to Denar 1,840 thousand, which is the amount up to which household deposits are insured in the Deposit Insurance Fund.  </w:t>
      </w:r>
    </w:p>
    <w:p w:rsidR="007E3713" w:rsidRDefault="007E3713" w:rsidP="0089443F">
      <w:pPr>
        <w:rPr>
          <w:rFonts w:cs="Tahoma"/>
          <w:bCs/>
          <w:sz w:val="24"/>
          <w:szCs w:val="24"/>
        </w:rPr>
      </w:pPr>
    </w:p>
    <w:p w:rsidR="00E91267" w:rsidRPr="0077078B" w:rsidRDefault="00E91267" w:rsidP="00C5550A">
      <w:pPr>
        <w:pStyle w:val="Heading2"/>
      </w:pPr>
      <w:bookmarkStart w:id="82" w:name="_Toc393283610"/>
      <w:r w:rsidRPr="0077078B">
        <w:t>Foreclosures</w:t>
      </w:r>
      <w:bookmarkEnd w:id="82"/>
    </w:p>
    <w:p w:rsidR="00E91267" w:rsidRPr="00BF7C7F" w:rsidRDefault="00E91267" w:rsidP="00E91267">
      <w:pPr>
        <w:ind w:left="-4395"/>
        <w:rPr>
          <w:rFonts w:cs="Tahoma"/>
          <w:bCs/>
          <w:sz w:val="24"/>
          <w:szCs w:val="24"/>
          <w:u w:val="single"/>
        </w:rPr>
      </w:pPr>
    </w:p>
    <w:p w:rsidR="00E91267" w:rsidRPr="0077078B" w:rsidRDefault="00E91267" w:rsidP="00E91267">
      <w:pPr>
        <w:ind w:left="-4536" w:firstLine="685"/>
        <w:rPr>
          <w:rFonts w:cs="Tahoma"/>
          <w:bCs/>
        </w:rPr>
      </w:pPr>
      <w:r w:rsidRPr="0077078B">
        <w:rPr>
          <w:rFonts w:cs="Tahoma"/>
          <w:b/>
        </w:rPr>
        <w:t xml:space="preserve">The amount of foreclosed assets in the banking system of the Republic of Macedonia is still small. As of December 31, 2013, the foreclosed assets less the impairment were 1.6% of total assets. However, the speed at which it has grown in the past (over a period of four years the amount has doubled) and the slow pace of sale of this foreclosed property were the reasons for the regulation of its treatment. The rules of the National Bank for the accounting and regulatory treatment of foreclosed assets, enable the banks to show foreclosures more realistically in their balance sheets and encourage them to sell foreclosed property more quickly. Also, this regulation allows avoiding the cyclical changes in the income statement due to presenting revenues (which are not realistic) when releasing the impairment of the uncollected claim which is closed with the foreclosure. Moreover, this regulation allows further strengthening of the banks' capital position, which besides creating more space for lending, also contributes to strengthening the stability and resilience of the banking system. The first data on the effects of the implementation of the new regulations show greater involvement of banks in selling the foreclosed assets. </w:t>
      </w:r>
    </w:p>
    <w:p w:rsidR="00E91267" w:rsidRPr="0077078B" w:rsidRDefault="00E91267" w:rsidP="00E91267">
      <w:pPr>
        <w:ind w:firstLine="709"/>
        <w:rPr>
          <w:rFonts w:cs="Tahoma"/>
          <w:bCs/>
        </w:rPr>
      </w:pPr>
    </w:p>
    <w:p w:rsidR="00E91267" w:rsidRPr="0077078B" w:rsidRDefault="00803610" w:rsidP="00E91267">
      <w:pPr>
        <w:ind w:firstLine="709"/>
        <w:rPr>
          <w:rFonts w:cs="Tahoma"/>
          <w:bCs/>
        </w:rPr>
      </w:pPr>
      <w:r w:rsidRPr="00803610">
        <w:rPr>
          <w:rFonts w:cs="Tahoma"/>
          <w:b/>
          <w:bCs/>
          <w:noProof/>
        </w:rPr>
        <w:lastRenderedPageBreak/>
        <w:pict>
          <v:shape id="Text Box 4" o:spid="_x0000_s1250" type="#_x0000_t202" style="position:absolute;left:0;text-align:left;margin-left:-230.55pt;margin-top:15.1pt;width:219pt;height:211.5pt;z-index:251770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" stroked="f" strokecolor="black [3213]">
            <v:textbox inset="0,0,0,0">
              <w:txbxContent>
                <w:p w:rsidR="00280598" w:rsidRPr="00B6232B" w:rsidRDefault="00280598" w:rsidP="00E91267">
                  <w:pPr>
                    <w:pStyle w:val="Caption"/>
                    <w:rPr>
                      <w:rFonts w:cs="Tahoma"/>
                      <w:b w:val="0"/>
                      <w:lang w:val="mk-MK"/>
                    </w:rPr>
                  </w:pPr>
                  <w:r>
                    <w:t xml:space="preserve">Chart </w:t>
                  </w:r>
                  <w:fldSimple w:instr=" SEQ Графикон_бр. \* ARABIC ">
                    <w:r>
                      <w:rPr>
                        <w:noProof/>
                      </w:rPr>
                      <w:t>97</w:t>
                    </w:r>
                  </w:fldSimple>
                  <w:r w:rsidRPr="00E8302F">
                    <w:rPr>
                      <w:rFonts w:cs="Tahoma"/>
                      <w:lang w:val="mk-MK"/>
                    </w:rPr>
                    <w:t xml:space="preserve"> </w:t>
                  </w:r>
                </w:p>
                <w:p w:rsidR="00280598" w:rsidRDefault="00280598" w:rsidP="00E91267">
                  <w:pPr>
                    <w:pStyle w:val="Caption"/>
                    <w:rPr>
                      <w:rFonts w:cs="Tahoma"/>
                    </w:rPr>
                  </w:pPr>
                  <w:r>
                    <w:rPr>
                      <w:rFonts w:cs="Tahoma"/>
                    </w:rPr>
                    <w:t>Structure of the foreclosed assets</w:t>
                  </w:r>
                </w:p>
                <w:p w:rsidR="00280598" w:rsidRDefault="00280598" w:rsidP="00E91267">
                  <w:pPr>
                    <w:rPr>
                      <w:sz w:val="18"/>
                      <w:szCs w:val="18"/>
                    </w:rPr>
                  </w:pPr>
                  <w:r>
                    <w:rPr>
                      <w:sz w:val="18"/>
                      <w:szCs w:val="18"/>
                    </w:rPr>
                    <w:t>in %</w:t>
                  </w:r>
                </w:p>
                <w:p w:rsidR="00280598" w:rsidRPr="008E6C13" w:rsidRDefault="00280598" w:rsidP="00E91267">
                  <w:pPr>
                    <w:rPr>
                      <w:sz w:val="18"/>
                      <w:szCs w:val="18"/>
                    </w:rPr>
                  </w:pPr>
                  <w:r w:rsidRPr="007B53C6">
                    <w:rPr>
                      <w:noProof/>
                    </w:rPr>
                    <w:drawing>
                      <wp:inline distT="0" distB="0" distL="0" distR="0">
                        <wp:extent cx="2724150" cy="1733550"/>
                        <wp:effectExtent l="0" t="0" r="0" b="0"/>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2284" cy="1738726"/>
                                </a:xfrm>
                                <a:prstGeom prst="rect">
                                  <a:avLst/>
                                </a:prstGeom>
                                <a:noFill/>
                                <a:ln>
                                  <a:noFill/>
                                </a:ln>
                              </pic:spPr>
                            </pic:pic>
                          </a:graphicData>
                        </a:graphic>
                      </wp:inline>
                    </w:drawing>
                  </w:r>
                </w:p>
                <w:p w:rsidR="00280598" w:rsidRDefault="00280598" w:rsidP="00E91267">
                  <w:pPr>
                    <w:rPr>
                      <w:lang w:val="mk-MK"/>
                    </w:rPr>
                  </w:pPr>
                  <w:r>
                    <w:rPr>
                      <w:sz w:val="18"/>
                      <w:szCs w:val="18"/>
                    </w:rPr>
                    <w:t>Source</w:t>
                  </w:r>
                  <w:r w:rsidRPr="00E8302F">
                    <w:rPr>
                      <w:sz w:val="18"/>
                      <w:szCs w:val="18"/>
                      <w:lang w:val="mk-MK"/>
                    </w:rPr>
                    <w:t>:</w:t>
                  </w:r>
                  <w:r w:rsidRPr="00E8302F">
                    <w:rPr>
                      <w:rFonts w:cs="Tahoma"/>
                      <w:sz w:val="18"/>
                      <w:szCs w:val="18"/>
                      <w:lang w:val="mk-MK"/>
                    </w:rPr>
                    <w:t xml:space="preserve"> </w:t>
                  </w:r>
                  <w:r>
                    <w:rPr>
                      <w:rFonts w:cs="Tahoma"/>
                      <w:sz w:val="18"/>
                      <w:szCs w:val="18"/>
                    </w:rPr>
                    <w:t xml:space="preserve">NBRM, based on data submitted by banks. </w:t>
                  </w:r>
                </w:p>
                <w:p w:rsidR="00280598" w:rsidRDefault="00280598" w:rsidP="00E91267">
                  <w:pPr>
                    <w:rPr>
                      <w:lang w:val="mk-MK"/>
                    </w:rPr>
                  </w:pPr>
                  <w:r>
                    <w:rPr>
                      <w:sz w:val="18"/>
                      <w:szCs w:val="18"/>
                    </w:rPr>
                    <w:t>Note: The amount of the foreclosed assets refer to initial value on the date of acquisition.</w:t>
                  </w:r>
                </w:p>
                <w:p w:rsidR="00280598" w:rsidRDefault="00280598" w:rsidP="00E91267">
                  <w:pPr>
                    <w:rPr>
                      <w:lang w:val="mk-MK"/>
                    </w:rPr>
                  </w:pPr>
                </w:p>
                <w:p w:rsidR="00280598" w:rsidRDefault="00280598" w:rsidP="00E91267">
                  <w:pPr>
                    <w:rPr>
                      <w:lang w:val="mk-MK"/>
                    </w:rPr>
                  </w:pPr>
                </w:p>
                <w:p w:rsidR="00280598" w:rsidRDefault="00280598" w:rsidP="00E91267">
                  <w:pPr>
                    <w:rPr>
                      <w:lang w:val="mk-MK"/>
                    </w:rPr>
                  </w:pPr>
                </w:p>
                <w:p w:rsidR="00280598" w:rsidRPr="008476D5" w:rsidRDefault="00280598" w:rsidP="00E91267">
                  <w:pPr>
                    <w:rPr>
                      <w:sz w:val="20"/>
                      <w:szCs w:val="20"/>
                      <w:lang w:val="mk-MK"/>
                    </w:rPr>
                  </w:pPr>
                </w:p>
              </w:txbxContent>
            </v:textbox>
          </v:shape>
        </w:pict>
      </w:r>
      <w:r w:rsidR="00E91267" w:rsidRPr="0077078B">
        <w:rPr>
          <w:rFonts w:cs="Tahoma"/>
          <w:bCs/>
        </w:rPr>
        <w:t>Closing the uncollected claims by foreclosed assets does not imply generation of actual cash inflows for the bank. True collection is achieved at the point of sale of the foreclosed asset, although accounting practices allow showing revenues in such closing of the uncollected claim. However, past practice has shown that the foreclosures are often kept in banks' balance sheets for a longer period of time before they are sold and before the actual collection occurs. Keeping the foreclosed assets burdens the banks' balance sheets with real estate and movable property, which are non-interest-earning assets and the bank should establish procedures for their evaluation and maintenance, as well as for their selling. Thus, with the foreclosure, the credit risk is converted into risks associated with its selling opportunities, taking into account the development of the market for that particular asset, changes in the market price and the like.</w:t>
      </w:r>
    </w:p>
    <w:p w:rsidR="00E91267" w:rsidRPr="0077078B" w:rsidRDefault="00E91267" w:rsidP="00E91267">
      <w:pPr>
        <w:ind w:firstLine="709"/>
        <w:rPr>
          <w:rFonts w:cs="Tahoma"/>
          <w:bCs/>
        </w:rPr>
      </w:pPr>
    </w:p>
    <w:p w:rsidR="00E91267" w:rsidRPr="0077078B" w:rsidRDefault="00803610" w:rsidP="00E91267">
      <w:pPr>
        <w:ind w:firstLine="709"/>
        <w:rPr>
          <w:rFonts w:cs="Tahoma"/>
          <w:bCs/>
        </w:rPr>
      </w:pPr>
      <w:r w:rsidRPr="00803610">
        <w:rPr>
          <w:rFonts w:cs="Tahoma"/>
          <w:b/>
          <w:bCs/>
          <w:noProof/>
        </w:rPr>
        <w:pict>
          <v:shape id="_x0000_s1251" type="#_x0000_t202" style="position:absolute;left:0;text-align:left;margin-left:-237pt;margin-top:71pt;width:231pt;height:195pt;z-index:251771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" stroked="f" strokecolor="black [3213]">
            <v:textbox inset="0,0,0,0">
              <w:txbxContent>
                <w:p w:rsidR="00280598" w:rsidRPr="00B6232B" w:rsidRDefault="00280598" w:rsidP="00E91267">
                  <w:pPr>
                    <w:pStyle w:val="Caption"/>
                    <w:rPr>
                      <w:rFonts w:cs="Tahoma"/>
                      <w:b w:val="0"/>
                      <w:lang w:val="mk-MK"/>
                    </w:rPr>
                  </w:pPr>
                  <w:r>
                    <w:t xml:space="preserve">Chart </w:t>
                  </w:r>
                  <w:fldSimple w:instr=" SEQ Графикон_бр. \* ARABIC ">
                    <w:r>
                      <w:rPr>
                        <w:noProof/>
                      </w:rPr>
                      <w:t>98</w:t>
                    </w:r>
                  </w:fldSimple>
                  <w:r w:rsidRPr="00E8302F">
                    <w:rPr>
                      <w:rFonts w:cs="Tahoma"/>
                      <w:lang w:val="mk-MK"/>
                    </w:rPr>
                    <w:t xml:space="preserve"> </w:t>
                  </w:r>
                </w:p>
                <w:p w:rsidR="00280598" w:rsidRDefault="00280598" w:rsidP="00E91267">
                  <w:pPr>
                    <w:pStyle w:val="Caption"/>
                    <w:rPr>
                      <w:rFonts w:cs="Tahoma"/>
                    </w:rPr>
                  </w:pPr>
                  <w:r>
                    <w:rPr>
                      <w:rFonts w:cs="Tahoma"/>
                    </w:rPr>
                    <w:t>Foreclosed assets</w:t>
                  </w:r>
                </w:p>
                <w:p w:rsidR="00280598" w:rsidRDefault="00280598" w:rsidP="00E91267">
                  <w:pPr>
                    <w:rPr>
                      <w:sz w:val="18"/>
                      <w:szCs w:val="18"/>
                    </w:rPr>
                  </w:pPr>
                  <w:r>
                    <w:rPr>
                      <w:sz w:val="18"/>
                      <w:szCs w:val="18"/>
                    </w:rPr>
                    <w:t>in millions of denars</w:t>
                  </w:r>
                </w:p>
                <w:p w:rsidR="00280598" w:rsidRPr="008E6C13" w:rsidRDefault="00280598" w:rsidP="00E91267">
                  <w:pPr>
                    <w:rPr>
                      <w:sz w:val="18"/>
                      <w:szCs w:val="18"/>
                    </w:rPr>
                  </w:pPr>
                  <w:r w:rsidRPr="00262DB7">
                    <w:rPr>
                      <w:noProof/>
                    </w:rPr>
                    <w:drawing>
                      <wp:inline distT="0" distB="0" distL="0" distR="0">
                        <wp:extent cx="2933700" cy="1532890"/>
                        <wp:effectExtent l="0" t="0" r="0" b="0"/>
                        <wp:docPr id="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1532890"/>
                                </a:xfrm>
                                <a:prstGeom prst="rect">
                                  <a:avLst/>
                                </a:prstGeom>
                                <a:noFill/>
                                <a:ln>
                                  <a:noFill/>
                                </a:ln>
                              </pic:spPr>
                            </pic:pic>
                          </a:graphicData>
                        </a:graphic>
                      </wp:inline>
                    </w:drawing>
                  </w:r>
                </w:p>
                <w:p w:rsidR="00280598" w:rsidRDefault="00280598" w:rsidP="00E91267">
                  <w:pPr>
                    <w:rPr>
                      <w:lang w:val="mk-MK"/>
                    </w:rPr>
                  </w:pPr>
                  <w:r>
                    <w:rPr>
                      <w:sz w:val="18"/>
                      <w:szCs w:val="18"/>
                    </w:rPr>
                    <w:t>Source</w:t>
                  </w:r>
                  <w:r w:rsidRPr="00E8302F">
                    <w:rPr>
                      <w:sz w:val="18"/>
                      <w:szCs w:val="18"/>
                      <w:lang w:val="mk-MK"/>
                    </w:rPr>
                    <w:t>:</w:t>
                  </w:r>
                  <w:r w:rsidRPr="00E8302F">
                    <w:rPr>
                      <w:rFonts w:cs="Tahoma"/>
                      <w:sz w:val="18"/>
                      <w:szCs w:val="18"/>
                      <w:lang w:val="mk-MK"/>
                    </w:rPr>
                    <w:t xml:space="preserve"> </w:t>
                  </w:r>
                  <w:r>
                    <w:rPr>
                      <w:rFonts w:cs="Tahoma"/>
                      <w:sz w:val="18"/>
                      <w:szCs w:val="18"/>
                    </w:rPr>
                    <w:t xml:space="preserve">NBRM, based on data submitted by banks. </w:t>
                  </w:r>
                </w:p>
                <w:p w:rsidR="00280598" w:rsidRDefault="00280598" w:rsidP="00E91267">
                  <w:pPr>
                    <w:rPr>
                      <w:lang w:val="mk-MK"/>
                    </w:rPr>
                  </w:pPr>
                  <w:r>
                    <w:rPr>
                      <w:sz w:val="18"/>
                      <w:szCs w:val="18"/>
                    </w:rPr>
                    <w:t>Note: The amount of the foreclosed assets refer to initial value on the date of acquisition.</w:t>
                  </w:r>
                </w:p>
                <w:p w:rsidR="00280598" w:rsidRDefault="00280598" w:rsidP="00E91267">
                  <w:pPr>
                    <w:rPr>
                      <w:lang w:val="mk-MK"/>
                    </w:rPr>
                  </w:pPr>
                </w:p>
                <w:p w:rsidR="00280598" w:rsidRDefault="00280598" w:rsidP="00E91267">
                  <w:pPr>
                    <w:rPr>
                      <w:lang w:val="mk-MK"/>
                    </w:rPr>
                  </w:pPr>
                </w:p>
                <w:p w:rsidR="00280598" w:rsidRDefault="00280598" w:rsidP="00E91267">
                  <w:pPr>
                    <w:rPr>
                      <w:lang w:val="mk-MK"/>
                    </w:rPr>
                  </w:pPr>
                </w:p>
                <w:p w:rsidR="00280598" w:rsidRPr="008476D5" w:rsidRDefault="00280598" w:rsidP="00E91267">
                  <w:pPr>
                    <w:rPr>
                      <w:sz w:val="20"/>
                      <w:szCs w:val="20"/>
                      <w:lang w:val="mk-MK"/>
                    </w:rPr>
                  </w:pPr>
                </w:p>
              </w:txbxContent>
            </v:textbox>
          </v:shape>
        </w:pict>
      </w:r>
      <w:r w:rsidR="00E91267" w:rsidRPr="0077078B">
        <w:rPr>
          <w:rFonts w:cs="Tahoma"/>
          <w:bCs/>
        </w:rPr>
        <w:t>In 2006, a special regulation for the treatment of foreclosed assets was adopted for the first time. According to this regulation the banks were required to allocate a special reserve to cover potential losses arising from foreclosed assets. This regulation was subject to amendments in 2007, but the obligation for banks to recognize impairment loss if the appraised value</w:t>
      </w:r>
      <w:r w:rsidR="00E91267" w:rsidRPr="0077078B">
        <w:rPr>
          <w:rStyle w:val="FootnoteReference"/>
          <w:rFonts w:cs="Tahoma"/>
        </w:rPr>
        <w:footnoteReference w:id="77"/>
      </w:r>
      <w:r w:rsidR="00E91267" w:rsidRPr="0077078B">
        <w:rPr>
          <w:rFonts w:cs="Tahoma"/>
          <w:bCs/>
        </w:rPr>
        <w:t xml:space="preserve"> of the foreclosed asset is lower than its book value, reduced by the total amount of the impairment loss, remained. Moreover, if banks failed to sell the foreclosed asset over a period of five years after its takeover, they were obliged to bring down its value to zero (to perform a complete write-off).</w:t>
      </w:r>
    </w:p>
    <w:p w:rsidR="00E91267" w:rsidRPr="0077078B" w:rsidRDefault="00E91267" w:rsidP="00E91267">
      <w:pPr>
        <w:ind w:firstLine="709"/>
        <w:rPr>
          <w:rFonts w:cs="Tahoma"/>
          <w:bCs/>
        </w:rPr>
      </w:pPr>
    </w:p>
    <w:p w:rsidR="0089443F" w:rsidRDefault="00E91267" w:rsidP="0089443F">
      <w:pPr>
        <w:ind w:firstLine="709"/>
        <w:rPr>
          <w:rFonts w:cs="Tahoma"/>
          <w:bCs/>
        </w:rPr>
      </w:pPr>
      <w:r w:rsidRPr="0077078B">
        <w:rPr>
          <w:rFonts w:cs="Tahoma"/>
          <w:bCs/>
        </w:rPr>
        <w:t xml:space="preserve">In the period following the adoption of the Decision (2008 to 2012), the amount of foreclosed assets doubled. Although the foreclosed assets did not have a significant share in the total assets of banks (2.1% as of December 31, 2011), the speed at which it grew imposed a need for further changes in the </w:t>
      </w:r>
      <w:r w:rsidRPr="0077078B">
        <w:rPr>
          <w:rFonts w:cs="Tahoma"/>
          <w:bCs/>
        </w:rPr>
        <w:lastRenderedPageBreak/>
        <w:t>relevant legislation that would allow more realistic presentation of the value of this assets in banks' balance sheets, but would also "encourage" banks to be more active in its selling. Therefore, in June 2012</w:t>
      </w:r>
      <w:r w:rsidRPr="0077078B">
        <w:rPr>
          <w:rStyle w:val="FootnoteReference"/>
          <w:rFonts w:cs="Tahoma"/>
        </w:rPr>
        <w:footnoteReference w:id="78"/>
      </w:r>
      <w:r w:rsidRPr="0077078B">
        <w:rPr>
          <w:rFonts w:cs="Tahoma"/>
          <w:bCs/>
        </w:rPr>
        <w:t>, and then again in March 2013</w:t>
      </w:r>
      <w:r w:rsidRPr="0077078B">
        <w:rPr>
          <w:rStyle w:val="FootnoteReference"/>
          <w:rFonts w:cs="Tahoma"/>
        </w:rPr>
        <w:footnoteReference w:id="79"/>
      </w:r>
      <w:r w:rsidRPr="0077078B">
        <w:rPr>
          <w:rFonts w:cs="Tahoma"/>
          <w:bCs/>
        </w:rPr>
        <w:t xml:space="preserve"> a requirement was introduced for mandatory annual impairment of the foreclosed assets of at least 20% of its book value</w:t>
      </w:r>
      <w:r w:rsidRPr="0077078B">
        <w:rPr>
          <w:rStyle w:val="FootnoteReference"/>
          <w:rFonts w:cs="Tahoma"/>
        </w:rPr>
        <w:footnoteReference w:id="80"/>
      </w:r>
      <w:r w:rsidRPr="0077078B">
        <w:rPr>
          <w:rFonts w:cs="Tahoma"/>
          <w:bCs/>
        </w:rPr>
        <w:t>. Moreover, the regulation introduced an initial impairment of the foreclosed asset of at least 20% and an obligation to present the revaluation reserve as the difference between the amount of derecognized impairment/special reserve for the uncollected claim and the initial impairment of the foreclosed asset</w:t>
      </w:r>
      <w:r w:rsidRPr="0077078B">
        <w:rPr>
          <w:rStyle w:val="FootnoteReference"/>
          <w:rFonts w:cs="Tahoma"/>
        </w:rPr>
        <w:footnoteReference w:id="81"/>
      </w:r>
      <w:r w:rsidRPr="0077078B">
        <w:rPr>
          <w:rFonts w:cs="Tahoma"/>
          <w:bCs/>
        </w:rPr>
        <w:t>. The purpose of all these new elements is to help banks make more realistic evaluations of the foreclosed assets in their balance sheets and avoid cyclical changes in the income statement due to presenting revenues (which are not realistic) when releasing the impairment of the uncollected claim. The requirement for mandatory annual presentation of the impairment loss of at least 20% of the net value of the foreclosed asset</w:t>
      </w:r>
      <w:r w:rsidRPr="0077078B">
        <w:rPr>
          <w:rStyle w:val="FootnoteReference"/>
          <w:rFonts w:cs="Tahoma"/>
        </w:rPr>
        <w:footnoteReference w:id="82"/>
      </w:r>
      <w:r w:rsidRPr="0077078B">
        <w:rPr>
          <w:rFonts w:cs="Tahoma"/>
          <w:bCs/>
        </w:rPr>
        <w:t xml:space="preserve"> should motivate banks to quickly "dispose of", i.e. sell the foreclosed property. Also, the obligation to present the revaluation reserve allows strengthening of the capital position. The revaluation reserve is part of the bank's supplementary capital (part of the bank's own funds) and can be excluded from the amount of the supplementary capital only if the foreclosed asset is sold or if the bank provides capital with higher quality than the quality of the revaluation reserve.</w:t>
      </w:r>
    </w:p>
    <w:p w:rsidR="00E91267" w:rsidRPr="0089443F" w:rsidRDefault="00803610" w:rsidP="0089443F">
      <w:pPr>
        <w:ind w:firstLine="709"/>
        <w:rPr>
          <w:rFonts w:cs="Tahoma"/>
          <w:bCs/>
        </w:rPr>
      </w:pPr>
      <w:r w:rsidRPr="00803610">
        <w:rPr>
          <w:rFonts w:cs="Tahoma"/>
          <w:b/>
          <w:bCs/>
          <w:noProof/>
        </w:rPr>
        <w:pict>
          <v:shape id="_x0000_s1253" type="#_x0000_t202" style="position:absolute;left:0;text-align:left;margin-left:-238.5pt;margin-top:-461.55pt;width:231pt;height:224.25pt;z-index:251773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" stroked="f" strokecolor="black [3213]">
            <v:textbox style="mso-next-textbox:#_x0000_s1253" inset="0,0,0,0">
              <w:txbxContent>
                <w:p w:rsidR="00280598" w:rsidRPr="00B6232B" w:rsidRDefault="00280598" w:rsidP="00E91267">
                  <w:pPr>
                    <w:pStyle w:val="Caption"/>
                    <w:rPr>
                      <w:rFonts w:cs="Tahoma"/>
                      <w:b w:val="0"/>
                      <w:lang w:val="mk-MK"/>
                    </w:rPr>
                  </w:pPr>
                  <w:r>
                    <w:t xml:space="preserve">Chart </w:t>
                  </w:r>
                  <w:fldSimple w:instr=" SEQ Графикон_бр. \* ARABIC ">
                    <w:r>
                      <w:rPr>
                        <w:noProof/>
                      </w:rPr>
                      <w:t>99</w:t>
                    </w:r>
                  </w:fldSimple>
                  <w:r w:rsidRPr="00E8302F">
                    <w:rPr>
                      <w:rFonts w:cs="Tahoma"/>
                      <w:lang w:val="mk-MK"/>
                    </w:rPr>
                    <w:t xml:space="preserve"> </w:t>
                  </w:r>
                </w:p>
                <w:p w:rsidR="00280598" w:rsidRDefault="00280598" w:rsidP="00E91267">
                  <w:pPr>
                    <w:pStyle w:val="Caption"/>
                    <w:rPr>
                      <w:rFonts w:cs="Tahoma"/>
                    </w:rPr>
                  </w:pPr>
                  <w:r>
                    <w:rPr>
                      <w:rFonts w:cs="Tahoma"/>
                    </w:rPr>
                    <w:t>Impairment of the foreclosed assets (movement and growth rates)</w:t>
                  </w:r>
                </w:p>
                <w:p w:rsidR="00280598" w:rsidRDefault="00280598" w:rsidP="00E91267">
                  <w:pPr>
                    <w:rPr>
                      <w:sz w:val="18"/>
                      <w:szCs w:val="18"/>
                    </w:rPr>
                  </w:pPr>
                  <w:r>
                    <w:rPr>
                      <w:sz w:val="18"/>
                      <w:szCs w:val="18"/>
                    </w:rPr>
                    <w:t>in millions of denars (left scale) and in % (right scale)</w:t>
                  </w:r>
                </w:p>
                <w:p w:rsidR="00280598" w:rsidRPr="008E6C13" w:rsidRDefault="00280598" w:rsidP="00E91267">
                  <w:pPr>
                    <w:rPr>
                      <w:sz w:val="18"/>
                      <w:szCs w:val="18"/>
                    </w:rPr>
                  </w:pPr>
                  <w:r w:rsidRPr="00544B5F">
                    <w:rPr>
                      <w:noProof/>
                    </w:rPr>
                    <w:drawing>
                      <wp:inline distT="0" distB="0" distL="0" distR="0">
                        <wp:extent cx="2828925" cy="2016593"/>
                        <wp:effectExtent l="0" t="0" r="0" b="3175"/>
                        <wp:docPr id="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925" cy="2016593"/>
                                </a:xfrm>
                                <a:prstGeom prst="rect">
                                  <a:avLst/>
                                </a:prstGeom>
                                <a:noFill/>
                                <a:ln>
                                  <a:noFill/>
                                </a:ln>
                              </pic:spPr>
                            </pic:pic>
                          </a:graphicData>
                        </a:graphic>
                      </wp:inline>
                    </w:drawing>
                  </w:r>
                </w:p>
                <w:p w:rsidR="00280598" w:rsidRDefault="00280598" w:rsidP="00E91267">
                  <w:pPr>
                    <w:rPr>
                      <w:lang w:val="mk-MK"/>
                    </w:rPr>
                  </w:pPr>
                  <w:r>
                    <w:rPr>
                      <w:sz w:val="18"/>
                      <w:szCs w:val="18"/>
                    </w:rPr>
                    <w:t>Source</w:t>
                  </w:r>
                  <w:r w:rsidRPr="00E8302F">
                    <w:rPr>
                      <w:sz w:val="18"/>
                      <w:szCs w:val="18"/>
                      <w:lang w:val="mk-MK"/>
                    </w:rPr>
                    <w:t>:</w:t>
                  </w:r>
                  <w:r w:rsidRPr="00E8302F">
                    <w:rPr>
                      <w:rFonts w:cs="Tahoma"/>
                      <w:sz w:val="18"/>
                      <w:szCs w:val="18"/>
                      <w:lang w:val="mk-MK"/>
                    </w:rPr>
                    <w:t xml:space="preserve"> </w:t>
                  </w:r>
                  <w:r>
                    <w:rPr>
                      <w:rFonts w:cs="Tahoma"/>
                      <w:sz w:val="18"/>
                      <w:szCs w:val="18"/>
                    </w:rPr>
                    <w:t xml:space="preserve">NBRM, based on data submitted by banks. </w:t>
                  </w:r>
                </w:p>
                <w:p w:rsidR="00280598" w:rsidRDefault="00280598" w:rsidP="00E91267">
                  <w:pPr>
                    <w:rPr>
                      <w:lang w:val="mk-MK"/>
                    </w:rPr>
                  </w:pPr>
                </w:p>
                <w:p w:rsidR="00280598" w:rsidRDefault="00280598" w:rsidP="00E91267">
                  <w:pPr>
                    <w:rPr>
                      <w:lang w:val="mk-MK"/>
                    </w:rPr>
                  </w:pPr>
                </w:p>
                <w:p w:rsidR="00280598" w:rsidRDefault="00280598" w:rsidP="00E91267">
                  <w:pPr>
                    <w:rPr>
                      <w:lang w:val="mk-MK"/>
                    </w:rPr>
                  </w:pPr>
                </w:p>
                <w:p w:rsidR="00280598" w:rsidRPr="008476D5" w:rsidRDefault="00280598" w:rsidP="00E91267">
                  <w:pPr>
                    <w:rPr>
                      <w:sz w:val="20"/>
                      <w:szCs w:val="20"/>
                      <w:lang w:val="mk-MK"/>
                    </w:rPr>
                  </w:pPr>
                </w:p>
              </w:txbxContent>
            </v:textbox>
          </v:shape>
        </w:pict>
      </w:r>
    </w:p>
    <w:p w:rsidR="00E91267" w:rsidRPr="0077078B" w:rsidRDefault="00E91267" w:rsidP="00E91267">
      <w:pPr>
        <w:ind w:firstLine="709"/>
        <w:rPr>
          <w:rFonts w:cs="Tahoma"/>
          <w:bCs/>
        </w:rPr>
      </w:pPr>
      <w:r w:rsidRPr="0077078B">
        <w:rPr>
          <w:rFonts w:cs="Tahoma"/>
          <w:bCs/>
        </w:rPr>
        <w:t xml:space="preserve">As of December 31, 2013, foreclosed assets amounted to Denar 7,717 million (initial value at acquisition date) or Denar 5,846 million if the initial value is reduced by the amount of </w:t>
      </w:r>
      <w:r w:rsidRPr="0077078B">
        <w:rPr>
          <w:rFonts w:cs="Tahoma"/>
          <w:bCs/>
        </w:rPr>
        <w:lastRenderedPageBreak/>
        <w:t>impairment. Most common in the structure of the foreclosed assets are buildings</w:t>
      </w:r>
      <w:r w:rsidRPr="0077078B">
        <w:rPr>
          <w:rStyle w:val="FootnoteReference"/>
          <w:rFonts w:cs="Tahoma"/>
        </w:rPr>
        <w:footnoteReference w:id="83"/>
      </w:r>
      <w:r w:rsidRPr="0077078B">
        <w:rPr>
          <w:rFonts w:cs="Tahoma"/>
          <w:bCs/>
        </w:rPr>
        <w:t xml:space="preserve"> (over 70%), while residential properties and equipment have almost equal share (about 10%).</w:t>
      </w:r>
    </w:p>
    <w:p w:rsidR="00E91267" w:rsidRPr="0077078B" w:rsidRDefault="00803610" w:rsidP="00E91267">
      <w:pPr>
        <w:ind w:firstLine="709"/>
        <w:rPr>
          <w:rFonts w:cs="Tahoma"/>
          <w:bCs/>
        </w:rPr>
      </w:pPr>
      <w:r w:rsidRPr="00803610">
        <w:rPr>
          <w:rFonts w:cs="Tahoma"/>
          <w:b/>
          <w:bCs/>
          <w:noProof/>
        </w:rPr>
        <w:pict>
          <v:shape id="_x0000_s1252" type="#_x0000_t202" style="position:absolute;left:0;text-align:left;margin-left:-239.25pt;margin-top:-52.95pt;width:231pt;height:198.75pt;z-index:251772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" stroked="f" strokecolor="black [3213]">
            <v:textbox style="mso-next-textbox:#_x0000_s1252" inset="0,0,0,0">
              <w:txbxContent>
                <w:p w:rsidR="00280598" w:rsidRPr="00B6232B" w:rsidRDefault="00280598" w:rsidP="00E91267">
                  <w:pPr>
                    <w:pStyle w:val="Caption"/>
                    <w:rPr>
                      <w:rFonts w:cs="Tahoma"/>
                      <w:b w:val="0"/>
                      <w:lang w:val="mk-MK"/>
                    </w:rPr>
                  </w:pPr>
                  <w:r>
                    <w:t xml:space="preserve">Chart </w:t>
                  </w:r>
                  <w:fldSimple w:instr=" SEQ Графикон_бр. \* ARABIC ">
                    <w:r>
                      <w:rPr>
                        <w:noProof/>
                      </w:rPr>
                      <w:t>100</w:t>
                    </w:r>
                  </w:fldSimple>
                  <w:r w:rsidRPr="00E8302F">
                    <w:rPr>
                      <w:rFonts w:cs="Tahoma"/>
                      <w:lang w:val="mk-MK"/>
                    </w:rPr>
                    <w:t xml:space="preserve"> </w:t>
                  </w:r>
                </w:p>
                <w:p w:rsidR="00280598" w:rsidRDefault="00280598" w:rsidP="00E91267">
                  <w:pPr>
                    <w:pStyle w:val="Caption"/>
                    <w:rPr>
                      <w:rFonts w:cs="Tahoma"/>
                    </w:rPr>
                  </w:pPr>
                  <w:r>
                    <w:rPr>
                      <w:rFonts w:cs="Tahoma"/>
                    </w:rPr>
                    <w:t xml:space="preserve">Foreclosed assets (initial value and net value) and their share in total assets </w:t>
                  </w:r>
                </w:p>
                <w:p w:rsidR="00280598" w:rsidRDefault="00280598" w:rsidP="00E91267">
                  <w:pPr>
                    <w:rPr>
                      <w:sz w:val="18"/>
                      <w:szCs w:val="18"/>
                    </w:rPr>
                  </w:pPr>
                  <w:r>
                    <w:rPr>
                      <w:sz w:val="18"/>
                      <w:szCs w:val="18"/>
                    </w:rPr>
                    <w:t>in millions of denars (left scale) and in % (right scale)</w:t>
                  </w:r>
                </w:p>
                <w:p w:rsidR="00280598" w:rsidRPr="008E6C13" w:rsidRDefault="00280598" w:rsidP="00E91267">
                  <w:pPr>
                    <w:rPr>
                      <w:sz w:val="18"/>
                      <w:szCs w:val="18"/>
                    </w:rPr>
                  </w:pPr>
                  <w:r w:rsidRPr="00544B5F">
                    <w:rPr>
                      <w:noProof/>
                    </w:rPr>
                    <w:drawing>
                      <wp:inline distT="0" distB="0" distL="0" distR="0">
                        <wp:extent cx="2933700" cy="1700399"/>
                        <wp:effectExtent l="0" t="0" r="0" b="0"/>
                        <wp:docPr id="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1700399"/>
                                </a:xfrm>
                                <a:prstGeom prst="rect">
                                  <a:avLst/>
                                </a:prstGeom>
                                <a:noFill/>
                                <a:ln>
                                  <a:noFill/>
                                </a:ln>
                              </pic:spPr>
                            </pic:pic>
                          </a:graphicData>
                        </a:graphic>
                      </wp:inline>
                    </w:drawing>
                  </w:r>
                </w:p>
                <w:p w:rsidR="00280598" w:rsidRDefault="00280598" w:rsidP="00E91267">
                  <w:pPr>
                    <w:rPr>
                      <w:lang w:val="mk-MK"/>
                    </w:rPr>
                  </w:pPr>
                  <w:r>
                    <w:rPr>
                      <w:sz w:val="18"/>
                      <w:szCs w:val="18"/>
                    </w:rPr>
                    <w:t>Source</w:t>
                  </w:r>
                  <w:r w:rsidRPr="00E8302F">
                    <w:rPr>
                      <w:sz w:val="18"/>
                      <w:szCs w:val="18"/>
                      <w:lang w:val="mk-MK"/>
                    </w:rPr>
                    <w:t>:</w:t>
                  </w:r>
                  <w:r w:rsidRPr="00E8302F">
                    <w:rPr>
                      <w:rFonts w:cs="Tahoma"/>
                      <w:sz w:val="18"/>
                      <w:szCs w:val="18"/>
                      <w:lang w:val="mk-MK"/>
                    </w:rPr>
                    <w:t xml:space="preserve"> </w:t>
                  </w:r>
                  <w:r>
                    <w:rPr>
                      <w:rFonts w:cs="Tahoma"/>
                      <w:sz w:val="18"/>
                      <w:szCs w:val="18"/>
                    </w:rPr>
                    <w:t xml:space="preserve">NBRM, based on data submitted by banks. </w:t>
                  </w:r>
                </w:p>
                <w:p w:rsidR="00280598" w:rsidRDefault="00280598" w:rsidP="00E91267">
                  <w:pPr>
                    <w:rPr>
                      <w:lang w:val="mk-MK"/>
                    </w:rPr>
                  </w:pPr>
                </w:p>
                <w:p w:rsidR="00280598" w:rsidRDefault="00280598" w:rsidP="00E91267">
                  <w:pPr>
                    <w:rPr>
                      <w:lang w:val="mk-MK"/>
                    </w:rPr>
                  </w:pPr>
                </w:p>
                <w:p w:rsidR="00280598" w:rsidRDefault="00280598" w:rsidP="00E91267">
                  <w:pPr>
                    <w:rPr>
                      <w:lang w:val="mk-MK"/>
                    </w:rPr>
                  </w:pPr>
                </w:p>
                <w:p w:rsidR="00280598" w:rsidRPr="008476D5" w:rsidRDefault="00280598" w:rsidP="00E91267">
                  <w:pPr>
                    <w:rPr>
                      <w:sz w:val="20"/>
                      <w:szCs w:val="20"/>
                      <w:lang w:val="mk-MK"/>
                    </w:rPr>
                  </w:pPr>
                </w:p>
              </w:txbxContent>
            </v:textbox>
          </v:shape>
        </w:pict>
      </w:r>
    </w:p>
    <w:p w:rsidR="00E91267" w:rsidRPr="0077078B" w:rsidRDefault="00803610" w:rsidP="00E91267">
      <w:pPr>
        <w:ind w:firstLine="709"/>
        <w:rPr>
          <w:rFonts w:cs="Tahoma"/>
        </w:rPr>
      </w:pPr>
      <w:r w:rsidRPr="00803610">
        <w:rPr>
          <w:rFonts w:cs="Tahoma"/>
          <w:b/>
          <w:bCs/>
          <w:noProof/>
        </w:rPr>
        <w:pict>
          <v:shape id="_x0000_s1255" type="#_x0000_t202" style="position:absolute;left:0;text-align:left;margin-left:-243pt;margin-top:146.05pt;width:231pt;height:191.25pt;z-index:251776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" stroked="f" strokecolor="black [3213]">
            <v:textbox inset="0,0,0,0">
              <w:txbxContent>
                <w:p w:rsidR="00280598" w:rsidRPr="00B6232B" w:rsidRDefault="00280598" w:rsidP="00E91267">
                  <w:pPr>
                    <w:pStyle w:val="Caption"/>
                    <w:rPr>
                      <w:rFonts w:cs="Tahoma"/>
                      <w:b w:val="0"/>
                      <w:lang w:val="mk-MK"/>
                    </w:rPr>
                  </w:pPr>
                  <w:r>
                    <w:t xml:space="preserve">Chart </w:t>
                  </w:r>
                  <w:fldSimple w:instr=" SEQ Графикон_бр. \* ARABIC ">
                    <w:r>
                      <w:rPr>
                        <w:noProof/>
                      </w:rPr>
                      <w:t>101</w:t>
                    </w:r>
                  </w:fldSimple>
                  <w:r w:rsidRPr="00E8302F">
                    <w:rPr>
                      <w:rFonts w:cs="Tahoma"/>
                      <w:lang w:val="mk-MK"/>
                    </w:rPr>
                    <w:t xml:space="preserve"> </w:t>
                  </w:r>
                </w:p>
                <w:p w:rsidR="00280598" w:rsidRDefault="00280598" w:rsidP="00E91267">
                  <w:pPr>
                    <w:pStyle w:val="Caption"/>
                    <w:rPr>
                      <w:rFonts w:cs="Tahoma"/>
                    </w:rPr>
                  </w:pPr>
                  <w:r>
                    <w:rPr>
                      <w:rFonts w:cs="Tahoma"/>
                    </w:rPr>
                    <w:t xml:space="preserve">Structure of the foreclosed assets according the acquisition date </w:t>
                  </w:r>
                </w:p>
                <w:p w:rsidR="00280598" w:rsidRDefault="00280598" w:rsidP="00E91267">
                  <w:pPr>
                    <w:rPr>
                      <w:sz w:val="18"/>
                      <w:szCs w:val="18"/>
                    </w:rPr>
                  </w:pPr>
                  <w:r>
                    <w:rPr>
                      <w:sz w:val="18"/>
                      <w:szCs w:val="18"/>
                    </w:rPr>
                    <w:t xml:space="preserve">in % </w:t>
                  </w:r>
                </w:p>
                <w:p w:rsidR="00280598" w:rsidRPr="008E6C13" w:rsidRDefault="00280598" w:rsidP="00E91267">
                  <w:pPr>
                    <w:rPr>
                      <w:sz w:val="18"/>
                      <w:szCs w:val="18"/>
                    </w:rPr>
                  </w:pPr>
                  <w:r w:rsidRPr="00F20342">
                    <w:rPr>
                      <w:noProof/>
                    </w:rPr>
                    <w:drawing>
                      <wp:inline distT="0" distB="0" distL="0" distR="0">
                        <wp:extent cx="2933700" cy="1633602"/>
                        <wp:effectExtent l="0" t="0" r="0" b="5080"/>
                        <wp:docPr id="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1633602"/>
                                </a:xfrm>
                                <a:prstGeom prst="rect">
                                  <a:avLst/>
                                </a:prstGeom>
                                <a:noFill/>
                                <a:ln>
                                  <a:noFill/>
                                </a:ln>
                              </pic:spPr>
                            </pic:pic>
                          </a:graphicData>
                        </a:graphic>
                      </wp:inline>
                    </w:drawing>
                  </w:r>
                </w:p>
                <w:p w:rsidR="00280598" w:rsidRDefault="00280598" w:rsidP="00E91267">
                  <w:pPr>
                    <w:rPr>
                      <w:lang w:val="mk-MK"/>
                    </w:rPr>
                  </w:pPr>
                  <w:r>
                    <w:rPr>
                      <w:sz w:val="18"/>
                      <w:szCs w:val="18"/>
                    </w:rPr>
                    <w:t>Source</w:t>
                  </w:r>
                  <w:r w:rsidRPr="00E8302F">
                    <w:rPr>
                      <w:sz w:val="18"/>
                      <w:szCs w:val="18"/>
                      <w:lang w:val="mk-MK"/>
                    </w:rPr>
                    <w:t>:</w:t>
                  </w:r>
                  <w:r w:rsidRPr="00E8302F">
                    <w:rPr>
                      <w:rFonts w:cs="Tahoma"/>
                      <w:sz w:val="18"/>
                      <w:szCs w:val="18"/>
                      <w:lang w:val="mk-MK"/>
                    </w:rPr>
                    <w:t xml:space="preserve"> </w:t>
                  </w:r>
                  <w:r>
                    <w:rPr>
                      <w:rFonts w:cs="Tahoma"/>
                      <w:sz w:val="18"/>
                      <w:szCs w:val="18"/>
                    </w:rPr>
                    <w:t xml:space="preserve">NBRM, based on data submitted by banks. </w:t>
                  </w:r>
                </w:p>
                <w:p w:rsidR="00280598" w:rsidRDefault="00280598" w:rsidP="00E91267">
                  <w:pPr>
                    <w:rPr>
                      <w:lang w:val="mk-MK"/>
                    </w:rPr>
                  </w:pPr>
                </w:p>
                <w:p w:rsidR="00280598" w:rsidRDefault="00280598" w:rsidP="00E91267">
                  <w:pPr>
                    <w:rPr>
                      <w:lang w:val="mk-MK"/>
                    </w:rPr>
                  </w:pPr>
                </w:p>
                <w:p w:rsidR="00280598" w:rsidRDefault="00280598" w:rsidP="00E91267">
                  <w:pPr>
                    <w:rPr>
                      <w:lang w:val="mk-MK"/>
                    </w:rPr>
                  </w:pPr>
                </w:p>
                <w:p w:rsidR="00280598" w:rsidRPr="008476D5" w:rsidRDefault="00280598" w:rsidP="00E91267">
                  <w:pPr>
                    <w:rPr>
                      <w:sz w:val="20"/>
                      <w:szCs w:val="20"/>
                      <w:lang w:val="mk-MK"/>
                    </w:rPr>
                  </w:pPr>
                </w:p>
              </w:txbxContent>
            </v:textbox>
          </v:shape>
        </w:pict>
      </w:r>
      <w:r w:rsidR="00E91267" w:rsidRPr="0077078B">
        <w:rPr>
          <w:rFonts w:cs="Tahoma"/>
          <w:bCs/>
        </w:rPr>
        <w:t>In 2012 and 2013, the share of the foreclosed assets in the total assets of banks declined. This was primarily due to the decrease in net value of foreclosed assets as a result of the introduced requirement for mandatory impairment of foreclosed assets, which caused its considerable growth, especially evident from the quarterly and annual growth rates. Thus, only in 2013, this impairment was more than double the impairment at the end of 2012. As of December 31, 2013, the quarterly and annual growth of the impairment was due to the contribution (75.6% in the quarterly growth and 51.6% in the annual growth) of one bank</w:t>
      </w:r>
      <w:r w:rsidR="00E91267" w:rsidRPr="0077078B">
        <w:rPr>
          <w:rFonts w:cs="Tahoma"/>
        </w:rPr>
        <w:t xml:space="preserve">.  </w:t>
      </w:r>
    </w:p>
    <w:p w:rsidR="00E91267" w:rsidRPr="0077078B" w:rsidRDefault="00E91267" w:rsidP="00E91267">
      <w:pPr>
        <w:ind w:firstLine="709"/>
        <w:rPr>
          <w:rFonts w:cs="Tahoma"/>
        </w:rPr>
      </w:pPr>
    </w:p>
    <w:p w:rsidR="00E91267" w:rsidRPr="0077078B" w:rsidRDefault="00E91267" w:rsidP="00E91267">
      <w:pPr>
        <w:ind w:firstLine="709"/>
        <w:rPr>
          <w:rFonts w:cs="Tahoma"/>
        </w:rPr>
      </w:pPr>
      <w:r w:rsidRPr="0077078B">
        <w:rPr>
          <w:rFonts w:cs="Tahoma"/>
        </w:rPr>
        <w:t>Besides the impairment, the lower share of foreclosed assets in the total assets at the end of 2013 was due to the declining amount of foreclosed assets in the previous year. Such developments are certainly a result of the banks' activities for faster sale of foreclosed assets, suggesting that the regulatory changes in their accounting treatment already show appropriate effects.</w:t>
      </w:r>
    </w:p>
    <w:p w:rsidR="00E91267" w:rsidRPr="0077078B" w:rsidRDefault="00E91267" w:rsidP="00E91267">
      <w:pPr>
        <w:ind w:firstLine="709"/>
        <w:rPr>
          <w:rFonts w:cs="Tahoma"/>
        </w:rPr>
      </w:pPr>
    </w:p>
    <w:p w:rsidR="00E91267" w:rsidRPr="0077078B" w:rsidRDefault="00803610" w:rsidP="00E91267">
      <w:pPr>
        <w:ind w:firstLine="709"/>
        <w:rPr>
          <w:rFonts w:cs="Tahoma"/>
        </w:rPr>
      </w:pPr>
      <w:r w:rsidRPr="00803610">
        <w:rPr>
          <w:rFonts w:cs="Tahoma"/>
          <w:b/>
          <w:bCs/>
          <w:noProof/>
        </w:rPr>
        <w:pict>
          <v:shape id="_x0000_s1254" type="#_x0000_t202" style="position:absolute;left:0;text-align:left;margin-left:-239.25pt;margin-top:13.6pt;width:231pt;height:198pt;z-index:251774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" stroked="f" strokecolor="black [3213]">
            <v:textbox inset="0,0,0,0">
              <w:txbxContent>
                <w:p w:rsidR="00280598" w:rsidRPr="00B6232B" w:rsidRDefault="00280598" w:rsidP="00E91267">
                  <w:pPr>
                    <w:pStyle w:val="Caption"/>
                    <w:rPr>
                      <w:rFonts w:cs="Tahoma"/>
                      <w:b w:val="0"/>
                      <w:lang w:val="mk-MK"/>
                    </w:rPr>
                  </w:pPr>
                  <w:r>
                    <w:t xml:space="preserve">Chart </w:t>
                  </w:r>
                  <w:fldSimple w:instr=" SEQ Графикон_бр. \* ARABIC ">
                    <w:r>
                      <w:rPr>
                        <w:noProof/>
                      </w:rPr>
                      <w:t>102</w:t>
                    </w:r>
                  </w:fldSimple>
                  <w:r w:rsidRPr="00E8302F">
                    <w:rPr>
                      <w:rFonts w:cs="Tahoma"/>
                      <w:lang w:val="mk-MK"/>
                    </w:rPr>
                    <w:t xml:space="preserve"> </w:t>
                  </w:r>
                </w:p>
                <w:p w:rsidR="00280598" w:rsidRDefault="00280598" w:rsidP="00E91267">
                  <w:pPr>
                    <w:pStyle w:val="Caption"/>
                    <w:rPr>
                      <w:rFonts w:cs="Tahoma"/>
                    </w:rPr>
                  </w:pPr>
                  <w:r>
                    <w:rPr>
                      <w:rFonts w:cs="Tahoma"/>
                    </w:rPr>
                    <w:t>Structure of the foreclosed assets sold in 2013, according the acquisition year</w:t>
                  </w:r>
                </w:p>
                <w:p w:rsidR="00280598" w:rsidRDefault="00280598" w:rsidP="00E91267">
                  <w:pPr>
                    <w:rPr>
                      <w:sz w:val="18"/>
                      <w:szCs w:val="18"/>
                    </w:rPr>
                  </w:pPr>
                  <w:r>
                    <w:rPr>
                      <w:sz w:val="18"/>
                      <w:szCs w:val="18"/>
                    </w:rPr>
                    <w:t xml:space="preserve">in millions of denars </w:t>
                  </w:r>
                </w:p>
                <w:p w:rsidR="00280598" w:rsidRPr="008E6C13" w:rsidRDefault="00280598" w:rsidP="00E91267">
                  <w:pPr>
                    <w:rPr>
                      <w:sz w:val="18"/>
                      <w:szCs w:val="18"/>
                    </w:rPr>
                  </w:pPr>
                  <w:r w:rsidRPr="00531525">
                    <w:rPr>
                      <w:noProof/>
                    </w:rPr>
                    <w:drawing>
                      <wp:inline distT="0" distB="0" distL="0" distR="0">
                        <wp:extent cx="2933700" cy="1693081"/>
                        <wp:effectExtent l="0" t="0" r="0" b="254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1693081"/>
                                </a:xfrm>
                                <a:prstGeom prst="rect">
                                  <a:avLst/>
                                </a:prstGeom>
                                <a:noFill/>
                                <a:ln>
                                  <a:noFill/>
                                </a:ln>
                              </pic:spPr>
                            </pic:pic>
                          </a:graphicData>
                        </a:graphic>
                      </wp:inline>
                    </w:drawing>
                  </w:r>
                </w:p>
                <w:p w:rsidR="00280598" w:rsidRDefault="00280598" w:rsidP="00E91267">
                  <w:pPr>
                    <w:rPr>
                      <w:lang w:val="mk-MK"/>
                    </w:rPr>
                  </w:pPr>
                  <w:r>
                    <w:rPr>
                      <w:sz w:val="18"/>
                      <w:szCs w:val="18"/>
                    </w:rPr>
                    <w:t>Source</w:t>
                  </w:r>
                  <w:r w:rsidRPr="00E8302F">
                    <w:rPr>
                      <w:sz w:val="18"/>
                      <w:szCs w:val="18"/>
                      <w:lang w:val="mk-MK"/>
                    </w:rPr>
                    <w:t>:</w:t>
                  </w:r>
                  <w:r w:rsidRPr="00E8302F">
                    <w:rPr>
                      <w:rFonts w:cs="Tahoma"/>
                      <w:sz w:val="18"/>
                      <w:szCs w:val="18"/>
                      <w:lang w:val="mk-MK"/>
                    </w:rPr>
                    <w:t xml:space="preserve"> </w:t>
                  </w:r>
                  <w:r>
                    <w:rPr>
                      <w:rFonts w:cs="Tahoma"/>
                      <w:sz w:val="18"/>
                      <w:szCs w:val="18"/>
                    </w:rPr>
                    <w:t xml:space="preserve">NBRM, based on data submitted by banks. </w:t>
                  </w:r>
                </w:p>
                <w:p w:rsidR="00280598" w:rsidRDefault="00280598" w:rsidP="00E91267">
                  <w:pPr>
                    <w:rPr>
                      <w:lang w:val="mk-MK"/>
                    </w:rPr>
                  </w:pPr>
                </w:p>
                <w:p w:rsidR="00280598" w:rsidRDefault="00280598" w:rsidP="00E91267">
                  <w:pPr>
                    <w:rPr>
                      <w:lang w:val="mk-MK"/>
                    </w:rPr>
                  </w:pPr>
                </w:p>
                <w:p w:rsidR="00280598" w:rsidRDefault="00280598" w:rsidP="00E91267">
                  <w:pPr>
                    <w:rPr>
                      <w:lang w:val="mk-MK"/>
                    </w:rPr>
                  </w:pPr>
                </w:p>
                <w:p w:rsidR="00280598" w:rsidRPr="008476D5" w:rsidRDefault="00280598" w:rsidP="00E91267">
                  <w:pPr>
                    <w:rPr>
                      <w:sz w:val="20"/>
                      <w:szCs w:val="20"/>
                      <w:lang w:val="mk-MK"/>
                    </w:rPr>
                  </w:pPr>
                </w:p>
              </w:txbxContent>
            </v:textbox>
          </v:shape>
        </w:pict>
      </w:r>
      <w:r w:rsidR="00E91267" w:rsidRPr="0077078B">
        <w:rPr>
          <w:rFonts w:cs="Tahoma"/>
        </w:rPr>
        <w:t>According to the method of sale, 50.7% of the foreclosures were sold in cash, 29.5% were combinations of loan and cash and 15.9% were sold on the basis of loan, while other ways of selling have negligible participation. Of particular importance is the sale on the basis of loan to be structured properly, in order to avoid the impression of a delay of the impairment of foreclosed assets.</w:t>
      </w:r>
    </w:p>
    <w:p w:rsidR="00E91267" w:rsidRPr="0077078B" w:rsidRDefault="00E91267" w:rsidP="00E91267">
      <w:pPr>
        <w:ind w:firstLine="709"/>
        <w:rPr>
          <w:rFonts w:cs="Tahoma"/>
        </w:rPr>
      </w:pPr>
    </w:p>
    <w:p w:rsidR="00E91267" w:rsidRPr="0077078B" w:rsidRDefault="00E91267" w:rsidP="00E91267">
      <w:pPr>
        <w:ind w:firstLine="709"/>
        <w:rPr>
          <w:rFonts w:cs="Tahoma"/>
        </w:rPr>
      </w:pPr>
      <w:r w:rsidRPr="0077078B">
        <w:rPr>
          <w:rFonts w:cs="Tahoma"/>
        </w:rPr>
        <w:t xml:space="preserve">Almost two thirds of the foreclosed assets that were sold in 2013, were acquired in 2012 and 2013 (56% of the sold assets were acquired in 2012 and 9.5% in 2013). Such structure of sold assets by the date of their acquisition is a good indicator of banks' efforts to sell them </w:t>
      </w:r>
      <w:r w:rsidRPr="0077078B">
        <w:rPr>
          <w:rFonts w:cs="Tahoma"/>
        </w:rPr>
        <w:lastRenderedPageBreak/>
        <w:t>faster, given that the assets sold in 2013 were kept in the banks' balance sheets for approximately 2.6 years, on average.</w:t>
      </w:r>
    </w:p>
    <w:p w:rsidR="00E91267" w:rsidRPr="0077078B" w:rsidRDefault="00E91267" w:rsidP="00E91267">
      <w:pPr>
        <w:ind w:firstLine="709"/>
        <w:rPr>
          <w:rFonts w:cs="Tahoma"/>
        </w:rPr>
      </w:pPr>
    </w:p>
    <w:p w:rsidR="00E91267" w:rsidRPr="0077078B" w:rsidRDefault="00E91267" w:rsidP="00E91267">
      <w:pPr>
        <w:ind w:firstLine="709"/>
        <w:rPr>
          <w:rFonts w:cs="Tahoma"/>
        </w:rPr>
      </w:pPr>
      <w:r w:rsidRPr="0077078B">
        <w:rPr>
          <w:rFonts w:cs="Tahoma"/>
        </w:rPr>
        <w:t>In 2013, the rate of collection of all foreclosed assets acquired so far was 9.8%</w:t>
      </w:r>
      <w:r w:rsidRPr="0077078B">
        <w:rPr>
          <w:rStyle w:val="FootnoteReference"/>
          <w:rFonts w:cs="Tahoma"/>
        </w:rPr>
        <w:footnoteReference w:id="84"/>
      </w:r>
      <w:r w:rsidRPr="0077078B">
        <w:rPr>
          <w:rFonts w:cs="Tahoma"/>
        </w:rPr>
        <w:t>. If only the assets that are taken and sold in 2013 are considered, the collection rate is 9.1% (calculated according to the initial value) i.e. 13.3% (calculated according to the net value of the foreclosed asset).</w:t>
      </w:r>
    </w:p>
    <w:p w:rsidR="00E91267" w:rsidRPr="0077078B" w:rsidRDefault="00E91267" w:rsidP="00E91267">
      <w:pPr>
        <w:ind w:firstLine="709"/>
        <w:rPr>
          <w:rFonts w:cs="Tahoma"/>
        </w:rPr>
      </w:pPr>
    </w:p>
    <w:p w:rsidR="00E91267" w:rsidRPr="0077078B" w:rsidRDefault="00803610" w:rsidP="00E91267">
      <w:pPr>
        <w:ind w:firstLine="709"/>
        <w:rPr>
          <w:rFonts w:cs="Tahoma"/>
        </w:rPr>
      </w:pPr>
      <w:r w:rsidRPr="00803610">
        <w:rPr>
          <w:rFonts w:cs="Tahoma"/>
          <w:b/>
          <w:bCs/>
          <w:noProof/>
        </w:rPr>
        <w:pict>
          <v:shape id="_x0000_s1256" type="#_x0000_t202" style="position:absolute;left:0;text-align:left;margin-left:-226.8pt;margin-top:64.2pt;width:3in;height:221.55pt;z-index:251777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" stroked="f" strokecolor="black [3213]">
            <v:textbox inset="0,0,0,0">
              <w:txbxContent>
                <w:p w:rsidR="00280598" w:rsidRPr="00B6232B" w:rsidRDefault="00280598" w:rsidP="00E91267">
                  <w:pPr>
                    <w:pStyle w:val="Caption"/>
                    <w:rPr>
                      <w:rFonts w:cs="Tahoma"/>
                      <w:b w:val="0"/>
                      <w:lang w:val="mk-MK"/>
                    </w:rPr>
                  </w:pPr>
                  <w:r>
                    <w:t xml:space="preserve">Chart </w:t>
                  </w:r>
                  <w:fldSimple w:instr=" SEQ Графикон_бр. \* ARABIC ">
                    <w:r>
                      <w:rPr>
                        <w:noProof/>
                      </w:rPr>
                      <w:t>103</w:t>
                    </w:r>
                  </w:fldSimple>
                  <w:r w:rsidRPr="00E8302F">
                    <w:rPr>
                      <w:rFonts w:cs="Tahoma"/>
                      <w:lang w:val="mk-MK"/>
                    </w:rPr>
                    <w:t xml:space="preserve"> </w:t>
                  </w:r>
                </w:p>
                <w:p w:rsidR="00280598" w:rsidRDefault="00280598" w:rsidP="00E91267">
                  <w:pPr>
                    <w:pStyle w:val="Caption"/>
                    <w:rPr>
                      <w:rFonts w:cs="Tahoma"/>
                    </w:rPr>
                  </w:pPr>
                  <w:r>
                    <w:rPr>
                      <w:rFonts w:cs="Tahoma"/>
                    </w:rPr>
                    <w:t xml:space="preserve">Structure of the derecognized impairment / special reserve, by banks </w:t>
                  </w:r>
                </w:p>
                <w:p w:rsidR="00280598" w:rsidRDefault="00280598" w:rsidP="00E91267">
                  <w:pPr>
                    <w:rPr>
                      <w:sz w:val="18"/>
                      <w:szCs w:val="18"/>
                    </w:rPr>
                  </w:pPr>
                  <w:r>
                    <w:rPr>
                      <w:sz w:val="18"/>
                      <w:szCs w:val="18"/>
                    </w:rPr>
                    <w:t xml:space="preserve">in % </w:t>
                  </w:r>
                </w:p>
                <w:p w:rsidR="00280598" w:rsidRPr="008E6C13" w:rsidRDefault="00280598" w:rsidP="00E91267">
                  <w:pPr>
                    <w:rPr>
                      <w:sz w:val="18"/>
                      <w:szCs w:val="18"/>
                    </w:rPr>
                  </w:pPr>
                  <w:r w:rsidRPr="00CF764B">
                    <w:rPr>
                      <w:noProof/>
                    </w:rPr>
                    <w:drawing>
                      <wp:inline distT="0" distB="0" distL="0" distR="0">
                        <wp:extent cx="2657475" cy="1704975"/>
                        <wp:effectExtent l="0" t="0" r="9525" b="9525"/>
                        <wp:docPr id="8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4372" cy="1709400"/>
                                </a:xfrm>
                                <a:prstGeom prst="rect">
                                  <a:avLst/>
                                </a:prstGeom>
                                <a:noFill/>
                                <a:ln>
                                  <a:noFill/>
                                </a:ln>
                              </pic:spPr>
                            </pic:pic>
                          </a:graphicData>
                        </a:graphic>
                      </wp:inline>
                    </w:drawing>
                  </w:r>
                </w:p>
                <w:p w:rsidR="00280598" w:rsidRDefault="00280598" w:rsidP="00E91267">
                  <w:pPr>
                    <w:rPr>
                      <w:rFonts w:cs="Tahoma"/>
                      <w:sz w:val="18"/>
                      <w:szCs w:val="18"/>
                    </w:rPr>
                  </w:pPr>
                  <w:r>
                    <w:rPr>
                      <w:sz w:val="18"/>
                      <w:szCs w:val="18"/>
                    </w:rPr>
                    <w:t>Source</w:t>
                  </w:r>
                  <w:r w:rsidRPr="00E8302F">
                    <w:rPr>
                      <w:sz w:val="18"/>
                      <w:szCs w:val="18"/>
                      <w:lang w:val="mk-MK"/>
                    </w:rPr>
                    <w:t>:</w:t>
                  </w:r>
                  <w:r w:rsidRPr="00E8302F">
                    <w:rPr>
                      <w:rFonts w:cs="Tahoma"/>
                      <w:sz w:val="18"/>
                      <w:szCs w:val="18"/>
                      <w:lang w:val="mk-MK"/>
                    </w:rPr>
                    <w:t xml:space="preserve"> </w:t>
                  </w:r>
                  <w:r>
                    <w:rPr>
                      <w:rFonts w:cs="Tahoma"/>
                      <w:sz w:val="18"/>
                      <w:szCs w:val="18"/>
                    </w:rPr>
                    <w:t>NBRM, based on data submitted by banks.</w:t>
                  </w:r>
                </w:p>
                <w:p w:rsidR="00280598" w:rsidRDefault="00280598" w:rsidP="00E91267">
                  <w:pPr>
                    <w:rPr>
                      <w:lang w:val="mk-MK"/>
                    </w:rPr>
                  </w:pPr>
                  <w:r>
                    <w:rPr>
                      <w:rFonts w:cs="Tahoma"/>
                      <w:sz w:val="18"/>
                      <w:szCs w:val="18"/>
                    </w:rPr>
                    <w:t>Note: Five banks do not have foreclosed assets after April 11, 2013</w:t>
                  </w:r>
                </w:p>
                <w:p w:rsidR="00280598" w:rsidRDefault="00280598" w:rsidP="00E91267">
                  <w:pPr>
                    <w:rPr>
                      <w:lang w:val="mk-MK"/>
                    </w:rPr>
                  </w:pPr>
                </w:p>
                <w:p w:rsidR="00280598" w:rsidRDefault="00280598" w:rsidP="00E91267">
                  <w:pPr>
                    <w:rPr>
                      <w:lang w:val="mk-MK"/>
                    </w:rPr>
                  </w:pPr>
                </w:p>
                <w:p w:rsidR="00280598" w:rsidRDefault="00280598" w:rsidP="00E91267">
                  <w:pPr>
                    <w:rPr>
                      <w:lang w:val="mk-MK"/>
                    </w:rPr>
                  </w:pPr>
                </w:p>
                <w:p w:rsidR="00280598" w:rsidRPr="008476D5" w:rsidRDefault="00280598" w:rsidP="00E91267">
                  <w:pPr>
                    <w:rPr>
                      <w:sz w:val="20"/>
                      <w:szCs w:val="20"/>
                      <w:lang w:val="mk-MK"/>
                    </w:rPr>
                  </w:pPr>
                </w:p>
              </w:txbxContent>
            </v:textbox>
          </v:shape>
        </w:pict>
      </w:r>
      <w:r w:rsidR="00E91267" w:rsidRPr="0077078B">
        <w:rPr>
          <w:rFonts w:cs="Tahoma"/>
        </w:rPr>
        <w:t>If a comparison is made between the initial value of foreclosed assets</w:t>
      </w:r>
      <w:r w:rsidR="00E91267" w:rsidRPr="0077078B">
        <w:rPr>
          <w:rStyle w:val="FootnoteReference"/>
          <w:rFonts w:cs="Tahoma"/>
        </w:rPr>
        <w:footnoteReference w:id="85"/>
      </w:r>
      <w:r w:rsidR="00E91267" w:rsidRPr="0077078B">
        <w:rPr>
          <w:rFonts w:cs="Tahoma"/>
        </w:rPr>
        <w:t xml:space="preserve"> and the value at which they were sold in 2013, it can be seen that the selling value of all assets sold in 2013 is by Denar 270.4 million (or 24.5%) lower than their initial book value. This difference justifies the requirement in the regulations for the proper impairment of the foreclosures in order to bring the book amount closer to their fair value.</w:t>
      </w:r>
    </w:p>
    <w:p w:rsidR="00E91267" w:rsidRPr="0077078B" w:rsidRDefault="00E91267" w:rsidP="00E91267">
      <w:pPr>
        <w:ind w:firstLine="709"/>
        <w:rPr>
          <w:rFonts w:cs="Tahoma"/>
        </w:rPr>
      </w:pPr>
    </w:p>
    <w:p w:rsidR="00E91267" w:rsidRPr="0077078B" w:rsidRDefault="00E91267" w:rsidP="00E91267">
      <w:pPr>
        <w:ind w:firstLine="709"/>
        <w:rPr>
          <w:rFonts w:cs="Tahoma"/>
        </w:rPr>
      </w:pPr>
      <w:r w:rsidRPr="0077078B">
        <w:rPr>
          <w:rFonts w:cs="Tahoma"/>
        </w:rPr>
        <w:t>As already pointed out, the regulation from March 2013 introduced a requirement for presenting revaluation reserve equal to the difference between the amount of the derecognized impairment/special reserve for the uncollected claim and the initial impairment of at least 20%. With the impairment of the foreclosed asset the banks may close even more than the minimum required 20% of the impairment/special reserve and the presented revaluation reserve will be lower by that amount. As of December 31, 2013, the revaluation reserve on this basis amounted to Denar 285.7 million, of which over 85% account for one bank. As of December 31, 2013, the revaluation reserve contributes with 27% to the growth of the banking system's own funds.</w:t>
      </w:r>
    </w:p>
    <w:p w:rsidR="00E91267" w:rsidRPr="0077078B" w:rsidRDefault="00E91267" w:rsidP="00E91267">
      <w:pPr>
        <w:ind w:firstLine="709"/>
        <w:rPr>
          <w:rFonts w:cs="Tahoma"/>
        </w:rPr>
      </w:pPr>
    </w:p>
    <w:p w:rsidR="00E91267" w:rsidRPr="0077078B" w:rsidRDefault="00E91267" w:rsidP="00E91267">
      <w:pPr>
        <w:ind w:firstLine="709"/>
        <w:rPr>
          <w:rFonts w:cs="Tahoma"/>
        </w:rPr>
      </w:pPr>
      <w:r w:rsidRPr="0077078B">
        <w:rPr>
          <w:rFonts w:cs="Tahoma"/>
        </w:rPr>
        <w:t xml:space="preserve">According to the reports submitted by banks, for the foreclosed assets acquired after </w:t>
      </w:r>
      <w:r w:rsidRPr="0077078B">
        <w:rPr>
          <w:rFonts w:cs="Tahoma"/>
        </w:rPr>
        <w:lastRenderedPageBreak/>
        <w:t>April 11, 2013</w:t>
      </w:r>
      <w:r w:rsidRPr="0077078B">
        <w:rPr>
          <w:rStyle w:val="FootnoteReference"/>
          <w:rFonts w:cs="Tahoma"/>
        </w:rPr>
        <w:footnoteReference w:id="86"/>
      </w:r>
      <w:r w:rsidRPr="0077078B">
        <w:rPr>
          <w:rFonts w:cs="Tahoma"/>
        </w:rPr>
        <w:t xml:space="preserve">, 52.3% of the impairment/special reserve was used for impairment of the foreclosed asset, and 47.7% were recorded on the revaluation reserve account. By bank, this ratio ranges from 20% to 100% in favor of impairment at the time of acquisition. This means that some banks use the given opportunity to show impairment of the foreclosed asset in an amount greater than the minimum 20% of its initial value. </w:t>
      </w:r>
    </w:p>
    <w:p w:rsidR="00795205" w:rsidRPr="0077078B" w:rsidRDefault="00795205" w:rsidP="00E91267"/>
    <w:p w:rsidR="00795205" w:rsidRPr="00392EE2" w:rsidRDefault="00795205" w:rsidP="00C5550A">
      <w:pPr>
        <w:pStyle w:val="Heading2"/>
      </w:pPr>
      <w:bookmarkStart w:id="83" w:name="_Toc393283611"/>
      <w:r w:rsidRPr="00392EE2">
        <w:t>Profitability</w:t>
      </w:r>
      <w:bookmarkEnd w:id="83"/>
    </w:p>
    <w:p w:rsidR="00795205" w:rsidRPr="00392EE2" w:rsidRDefault="00795205" w:rsidP="00795205">
      <w:pPr>
        <w:ind w:left="-4536" w:firstLine="708"/>
        <w:rPr>
          <w:rFonts w:cs="Tahoma"/>
          <w:b/>
        </w:rPr>
      </w:pPr>
      <w:bookmarkStart w:id="84" w:name="_Toc297648530"/>
      <w:bookmarkStart w:id="85" w:name="_Toc297714068"/>
      <w:bookmarkStart w:id="86" w:name="_Toc297821236"/>
      <w:bookmarkStart w:id="87" w:name="_Toc297903452"/>
      <w:bookmarkStart w:id="88" w:name="_Toc297904019"/>
      <w:bookmarkStart w:id="89" w:name="_Toc298138470"/>
      <w:bookmarkStart w:id="90" w:name="_Toc298169473"/>
      <w:bookmarkStart w:id="91" w:name="_Toc298252611"/>
      <w:bookmarkStart w:id="92" w:name="_Toc298418756"/>
      <w:bookmarkStart w:id="93" w:name="_Toc298422628"/>
      <w:bookmarkStart w:id="94" w:name="_Toc298428001"/>
      <w:bookmarkStart w:id="95" w:name="_Toc299102838"/>
      <w:bookmarkStart w:id="96" w:name="_Toc300561646"/>
      <w:bookmarkStart w:id="97" w:name="_Toc305482926"/>
      <w:bookmarkStart w:id="98" w:name="_Toc311554735"/>
      <w:bookmarkStart w:id="99" w:name="_Toc311556866"/>
      <w:bookmarkStart w:id="100" w:name="_Toc311556908"/>
      <w:bookmarkStart w:id="101" w:name="_Toc311557328"/>
      <w:bookmarkStart w:id="102" w:name="_Toc311627504"/>
      <w:bookmarkStart w:id="103" w:name="_Toc329933456"/>
      <w:bookmarkStart w:id="104" w:name="_Toc329933846"/>
      <w:bookmarkStart w:id="105" w:name="_Toc335827333"/>
      <w:bookmarkStart w:id="106" w:name="_Toc335983763"/>
      <w:bookmarkStart w:id="107" w:name="_Toc335983975"/>
      <w:bookmarkStart w:id="108" w:name="_Toc335999462"/>
      <w:bookmarkStart w:id="109" w:name="_Toc335999507"/>
      <w:bookmarkStart w:id="110" w:name="_Toc336005346"/>
      <w:bookmarkStart w:id="111" w:name="_Toc336513897"/>
      <w:bookmarkStart w:id="112" w:name="_Toc337029281"/>
      <w:bookmarkStart w:id="113" w:name="_Toc342461829"/>
      <w:bookmarkStart w:id="114" w:name="_Toc361664646"/>
      <w:bookmarkStart w:id="115" w:name="_Toc361667566"/>
      <w:bookmarkStart w:id="116" w:name="_Toc361667610"/>
      <w:bookmarkStart w:id="117" w:name="_Toc361667700"/>
      <w:bookmarkStart w:id="118" w:name="_Toc361668777"/>
      <w:bookmarkStart w:id="119" w:name="_Toc361668806"/>
      <w:bookmarkStart w:id="120" w:name="_Toc361755442"/>
      <w:bookmarkStart w:id="121" w:name="_Toc361755520"/>
      <w:bookmarkStart w:id="122" w:name="_Toc361755562"/>
      <w:bookmarkStart w:id="123" w:name="_Toc361989708"/>
      <w:bookmarkStart w:id="124" w:name="_Toc362007069"/>
      <w:bookmarkStart w:id="125" w:name="_Toc370128090"/>
      <w:bookmarkStart w:id="126" w:name="_Toc370129120"/>
      <w:bookmarkStart w:id="127" w:name="_Toc370129711"/>
      <w:bookmarkStart w:id="128" w:name="_Toc370132319"/>
      <w:bookmarkStart w:id="129" w:name="_Toc370132679"/>
      <w:bookmarkStart w:id="130" w:name="_Toc370132937"/>
      <w:bookmarkStart w:id="131" w:name="_Toc370132966"/>
      <w:bookmarkStart w:id="132" w:name="_Toc375046484"/>
      <w:bookmarkStart w:id="133" w:name="_Toc375046574"/>
      <w:bookmarkStart w:id="134" w:name="_Toc384889905"/>
      <w:bookmarkStart w:id="135" w:name="_Toc384889935"/>
      <w:bookmarkStart w:id="136" w:name="_Toc384892840"/>
      <w:bookmarkStart w:id="137" w:name="_Toc384893303"/>
      <w:bookmarkStart w:id="138" w:name="_Toc384995386"/>
      <w:bookmarkStart w:id="139" w:name="_Toc384996397"/>
      <w:bookmarkStart w:id="140" w:name="_Toc384996517"/>
      <w:bookmarkStart w:id="141" w:name="_Toc385417484"/>
      <w:bookmarkStart w:id="142" w:name="_Toc386539310"/>
      <w:bookmarkStart w:id="143" w:name="_Toc386539353"/>
      <w:bookmarkStart w:id="144" w:name="_Toc386539471"/>
      <w:bookmarkStart w:id="145" w:name="_Toc387051909"/>
      <w:bookmarkStart w:id="146" w:name="_Toc387052345"/>
      <w:bookmarkStart w:id="147" w:name="_Toc387052859"/>
      <w:bookmarkStart w:id="148" w:name="_Toc387052937"/>
      <w:bookmarkStart w:id="149" w:name="_Toc387054092"/>
      <w:bookmarkStart w:id="150" w:name="_Toc387054244"/>
      <w:bookmarkStart w:id="151" w:name="_Toc387054477"/>
      <w:bookmarkStart w:id="152" w:name="_Toc387055270"/>
      <w:bookmarkStart w:id="153" w:name="_Toc387055349"/>
      <w:bookmarkStart w:id="154" w:name="_Toc387056370"/>
      <w:bookmarkStart w:id="155" w:name="_Toc387056504"/>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795205" w:rsidRPr="00392EE2" w:rsidRDefault="00795205" w:rsidP="00795205">
      <w:pPr>
        <w:ind w:left="-4536" w:firstLine="576"/>
        <w:rPr>
          <w:rFonts w:cs="Tahoma"/>
          <w:b/>
        </w:rPr>
      </w:pPr>
      <w:r w:rsidRPr="00392EE2">
        <w:rPr>
          <w:rFonts w:cs="Tahoma"/>
          <w:b/>
        </w:rPr>
        <w:t xml:space="preserve">The profitability of the banking system of the Republic of Macedonia has significantly improved. Profit after taxation achieved in 2013, in the amount of Denar 2,311 million, increased by Denar 849 million, or 58.1%, compared with the last year. The number of banks which registered profits increased from ten banks at the end of 2012 (with a market share of 92.0% in the assets) to thirteen banks (with a market share of 95.6% in the assets). Increased profits of the banking system are due to the increase in the net interest income of banks, which has increased due to the reduced interest expenses. Impairment released in the last quarter of 2013, due to the closure of non-performing claims, also contributed to the growth of the financial result of the banking system. However, the released impairment was largely used to cover the impairment made ​​during the year, due to further deterioration of the loan portfolio. Future movement in the quality of the loan portfolio is one of the major risks for the profitable operations of banks in the future. Trends in bank profitability significantly depend also on the opportunities for maintenance and growth of net interest income, given the limited opportunities for growth of the interest income due to the still moderate lending activity of banks and for further reduction of the interest expenses. Higher profits contributed to the improvement in the banks' profitability indicators, and also the operational capability to generate revenues that cover costs of operation has increased. </w:t>
      </w:r>
    </w:p>
    <w:p w:rsidR="002D03ED" w:rsidRPr="00C62900" w:rsidRDefault="00795205" w:rsidP="00C62900">
      <w:pPr>
        <w:ind w:left="-4536" w:firstLine="567"/>
        <w:rPr>
          <w:rFonts w:cs="Tahoma"/>
          <w:b/>
          <w:bCs/>
        </w:rPr>
      </w:pPr>
      <w:r w:rsidRPr="00392EE2">
        <w:rPr>
          <w:rFonts w:cs="Tahoma"/>
          <w:b/>
          <w:bCs/>
        </w:rPr>
        <w:t xml:space="preserve"> </w:t>
      </w:r>
    </w:p>
    <w:p w:rsidR="00795205" w:rsidRPr="00392EE2" w:rsidRDefault="00795205" w:rsidP="00C5550A">
      <w:pPr>
        <w:pStyle w:val="Heading3"/>
        <w:jc w:val="both"/>
      </w:pPr>
      <w:r w:rsidRPr="00392EE2">
        <w:t xml:space="preserve"> </w:t>
      </w:r>
      <w:bookmarkStart w:id="156" w:name="_Toc393283612"/>
      <w:r w:rsidRPr="00392EE2">
        <w:t>Movement and structure of income and expenses of the banking system and profitability and efficiency indicators</w:t>
      </w:r>
      <w:bookmarkEnd w:id="156"/>
      <w:r w:rsidRPr="00392EE2">
        <w:t xml:space="preserve"> </w:t>
      </w:r>
    </w:p>
    <w:p w:rsidR="00795205" w:rsidRPr="00392EE2" w:rsidRDefault="00795205" w:rsidP="00795205">
      <w:pPr>
        <w:autoSpaceDE w:val="0"/>
        <w:autoSpaceDN w:val="0"/>
        <w:adjustRightInd w:val="0"/>
        <w:ind w:firstLine="709"/>
        <w:rPr>
          <w:rFonts w:cs="Tahoma"/>
          <w:bCs/>
        </w:rPr>
      </w:pPr>
      <w:r w:rsidRPr="00392EE2">
        <w:rPr>
          <w:rFonts w:cs="Tahoma"/>
          <w:lang w:eastAsia="mk-MK"/>
        </w:rPr>
        <w:t xml:space="preserve">  </w:t>
      </w:r>
    </w:p>
    <w:p w:rsidR="00795205" w:rsidRPr="00392EE2" w:rsidRDefault="00795205" w:rsidP="00795205">
      <w:pPr>
        <w:autoSpaceDE w:val="0"/>
        <w:autoSpaceDN w:val="0"/>
        <w:adjustRightInd w:val="0"/>
        <w:ind w:firstLine="450"/>
        <w:rPr>
          <w:rFonts w:cs="Tahoma"/>
        </w:rPr>
      </w:pPr>
      <w:r w:rsidRPr="00392EE2">
        <w:rPr>
          <w:rFonts w:cs="Tahoma"/>
        </w:rPr>
        <w:t>In 2013, the total income of banks (total regular income</w:t>
      </w:r>
      <w:r w:rsidRPr="00392EE2">
        <w:rPr>
          <w:rStyle w:val="FootnoteReference"/>
          <w:rFonts w:cs="Tahoma"/>
        </w:rPr>
        <w:footnoteReference w:id="87"/>
      </w:r>
      <w:r w:rsidRPr="00392EE2">
        <w:rPr>
          <w:rFonts w:cs="Tahoma"/>
        </w:rPr>
        <w:t xml:space="preserve"> and extraordinary income) totaled Denar 18,462 million, which is by Denar </w:t>
      </w:r>
      <w:r w:rsidRPr="00392EE2">
        <w:rPr>
          <w:rFonts w:cs="Tahoma"/>
        </w:rPr>
        <w:lastRenderedPageBreak/>
        <w:t xml:space="preserve">773.7 million, or 4.4%, more compared with the previous year. The main driver of the increase in banks' income is net interest income, which accounts for almost two thirds of the total banks' income. Increased net interest income (by Denar 788.6 million, or 6.9%) is solely due to the sharper annual decline in the interest expenses (Denar 792.7 million or 9.1%) compared to the slight drop in the interest income (Denar 4 million </w:t>
      </w:r>
      <w:r w:rsidR="00803610" w:rsidRPr="00803610">
        <w:rPr>
          <w:noProof/>
        </w:rPr>
        <w:pict>
          <v:shape id="Text Box 2" o:spid="_x0000_s1272" type="#_x0000_t202" style="position:absolute;left:0;text-align:left;margin-left:-217.5pt;margin-top:140.4pt;width:458.25pt;height:162pt;z-index:25179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" stroked="f">
            <v:textbox style="mso-next-textbox:#Text Box 2">
              <w:txbxContent>
                <w:p w:rsidR="00280598" w:rsidRPr="00900660" w:rsidRDefault="00280598" w:rsidP="00795205">
                  <w:pPr>
                    <w:pStyle w:val="Caption"/>
                    <w:rPr>
                      <w:rFonts w:cs="Tahoma"/>
                      <w:lang w:val="mk-MK"/>
                    </w:rPr>
                  </w:pPr>
                  <w:r w:rsidRPr="00900660">
                    <w:rPr>
                      <w:rFonts w:cs="Tahoma"/>
                    </w:rPr>
                    <w:t xml:space="preserve">Table </w:t>
                  </w:r>
                  <w:r w:rsidR="00803610" w:rsidRPr="00900660">
                    <w:rPr>
                      <w:rFonts w:cs="Tahoma"/>
                    </w:rPr>
                    <w:fldChar w:fldCharType="begin"/>
                  </w:r>
                  <w:r w:rsidRPr="00900660">
                    <w:rPr>
                      <w:rFonts w:cs="Tahoma"/>
                    </w:rPr>
                    <w:instrText xml:space="preserve"> SEQ Табела_бр. \* ARABIC </w:instrText>
                  </w:r>
                  <w:r w:rsidR="00803610" w:rsidRPr="00900660">
                    <w:rPr>
                      <w:rFonts w:cs="Tahoma"/>
                    </w:rPr>
                    <w:fldChar w:fldCharType="separate"/>
                  </w:r>
                  <w:r>
                    <w:rPr>
                      <w:rFonts w:cs="Tahoma"/>
                      <w:noProof/>
                    </w:rPr>
                    <w:t>6</w:t>
                  </w:r>
                  <w:r w:rsidR="00803610" w:rsidRPr="00900660">
                    <w:rPr>
                      <w:rFonts w:cs="Tahoma"/>
                    </w:rPr>
                    <w:fldChar w:fldCharType="end"/>
                  </w:r>
                </w:p>
                <w:p w:rsidR="00280598" w:rsidRPr="00900660" w:rsidRDefault="00280598" w:rsidP="00795205">
                  <w:pPr>
                    <w:pStyle w:val="Caption"/>
                    <w:jc w:val="left"/>
                    <w:rPr>
                      <w:rFonts w:cs="Tahoma"/>
                      <w:lang w:val="mk-MK"/>
                    </w:rPr>
                  </w:pPr>
                  <w:r w:rsidRPr="00900660">
                    <w:rPr>
                      <w:rFonts w:cs="Tahoma"/>
                      <w:bCs/>
                    </w:rPr>
                    <w:t>Amount and annual change of major incomes and expenses</w:t>
                  </w:r>
                </w:p>
                <w:p w:rsidR="00280598" w:rsidRPr="00280598" w:rsidRDefault="00280598" w:rsidP="00795205">
                  <w:pPr>
                    <w:pStyle w:val="Caption"/>
                    <w:jc w:val="left"/>
                    <w:rPr>
                      <w:b w:val="0"/>
                      <w:lang w:val="mk-MK"/>
                    </w:rPr>
                  </w:pPr>
                  <w:r w:rsidRPr="00280598">
                    <w:rPr>
                      <w:b w:val="0"/>
                      <w:sz w:val="18"/>
                      <w:szCs w:val="18"/>
                    </w:rPr>
                    <w:t>in millions of denars and in %</w:t>
                  </w:r>
                  <w:r w:rsidRPr="00280598">
                    <w:rPr>
                      <w:b w:val="0"/>
                      <w:lang w:val="mk-MK"/>
                    </w:rPr>
                    <w:t xml:space="preserve"> </w:t>
                  </w:r>
                </w:p>
                <w:p w:rsidR="00280598" w:rsidRPr="00FA38A5" w:rsidRDefault="00280598" w:rsidP="00795205">
                  <w:pPr>
                    <w:rPr>
                      <w:lang w:val="mk-MK"/>
                    </w:rPr>
                  </w:pPr>
                  <w:r w:rsidRPr="007D191F">
                    <w:rPr>
                      <w:noProof/>
                    </w:rPr>
                    <w:drawing>
                      <wp:inline distT="0" distB="0" distL="0" distR="0">
                        <wp:extent cx="5613621" cy="1399429"/>
                        <wp:effectExtent l="19050" t="0" r="6129"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3621" cy="1399429"/>
                                </a:xfrm>
                                <a:prstGeom prst="rect">
                                  <a:avLst/>
                                </a:prstGeom>
                                <a:noFill/>
                                <a:ln>
                                  <a:noFill/>
                                </a:ln>
                              </pic:spPr>
                            </pic:pic>
                          </a:graphicData>
                        </a:graphic>
                      </wp:inline>
                    </w:drawing>
                  </w:r>
                </w:p>
                <w:p w:rsidR="00280598" w:rsidRPr="003A3FDD" w:rsidRDefault="00280598" w:rsidP="00795205">
                  <w:pPr>
                    <w:tabs>
                      <w:tab w:val="left" w:pos="90"/>
                    </w:tabs>
                    <w:rPr>
                      <w:lang w:val="mk-MK"/>
                    </w:rPr>
                  </w:pPr>
                  <w:r>
                    <w:rPr>
                      <w:sz w:val="18"/>
                      <w:szCs w:val="18"/>
                    </w:rPr>
                    <w:t>Source: NBRM, based on data submitted by banks.</w:t>
                  </w:r>
                </w:p>
                <w:p w:rsidR="00280598" w:rsidRPr="0086762E" w:rsidRDefault="00280598" w:rsidP="00795205">
                  <w:pPr>
                    <w:rPr>
                      <w:sz w:val="18"/>
                      <w:szCs w:val="18"/>
                      <w:lang w:val="mk-MK"/>
                    </w:rPr>
                  </w:pPr>
                </w:p>
              </w:txbxContent>
            </v:textbox>
            <w10:wrap type="square"/>
          </v:shape>
        </w:pict>
      </w:r>
      <w:r w:rsidRPr="00392EE2">
        <w:rPr>
          <w:rFonts w:cs="Tahoma"/>
        </w:rPr>
        <w:t xml:space="preserve">or 0.02%). </w:t>
      </w:r>
    </w:p>
    <w:p w:rsidR="00795205" w:rsidRPr="00392EE2" w:rsidRDefault="00795205" w:rsidP="00795205">
      <w:pPr>
        <w:autoSpaceDE w:val="0"/>
        <w:autoSpaceDN w:val="0"/>
        <w:adjustRightInd w:val="0"/>
        <w:ind w:firstLine="709"/>
        <w:rPr>
          <w:rFonts w:cs="Tahoma"/>
        </w:rPr>
      </w:pPr>
    </w:p>
    <w:p w:rsidR="00795205" w:rsidRDefault="00803610" w:rsidP="002D03ED">
      <w:pPr>
        <w:ind w:firstLine="450"/>
        <w:rPr>
          <w:rFonts w:cs="Tahoma"/>
        </w:rPr>
      </w:pPr>
      <w:r>
        <w:rPr>
          <w:rFonts w:cs="Tahoma"/>
          <w:noProof/>
        </w:rPr>
        <w:pict>
          <v:shape id="_x0000_s1259" type="#_x0000_t202" style="position:absolute;left:0;text-align:left;margin-left:-225pt;margin-top:318.9pt;width:214.7pt;height:218.25pt;z-index:25177907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" stroked="f">
            <v:textbox style="mso-next-textbox:#_x0000_s1259">
              <w:txbxContent>
                <w:p w:rsidR="00280598" w:rsidRPr="00B6232B" w:rsidRDefault="00280598" w:rsidP="00556EB0">
                  <w:pPr>
                    <w:pStyle w:val="Caption"/>
                    <w:rPr>
                      <w:rFonts w:cs="Tahoma"/>
                      <w:b w:val="0"/>
                      <w:lang w:val="mk-MK"/>
                    </w:rPr>
                  </w:pPr>
                  <w:r>
                    <w:t xml:space="preserve">Chart </w:t>
                  </w:r>
                  <w:fldSimple w:instr=" SEQ Графикон_бр. \* ARABIC ">
                    <w:r w:rsidR="00B0531C">
                      <w:rPr>
                        <w:noProof/>
                      </w:rPr>
                      <w:t>104</w:t>
                    </w:r>
                  </w:fldSimple>
                  <w:r w:rsidRPr="00E8302F">
                    <w:rPr>
                      <w:rFonts w:cs="Tahoma"/>
                      <w:lang w:val="mk-MK"/>
                    </w:rPr>
                    <w:t xml:space="preserve"> </w:t>
                  </w:r>
                </w:p>
                <w:p w:rsidR="00280598" w:rsidRPr="00556EB0" w:rsidRDefault="00280598" w:rsidP="00795205">
                  <w:pPr>
                    <w:autoSpaceDE w:val="0"/>
                    <w:autoSpaceDN w:val="0"/>
                    <w:adjustRightInd w:val="0"/>
                    <w:jc w:val="left"/>
                    <w:rPr>
                      <w:rFonts w:cs="Tahoma"/>
                      <w:b/>
                      <w:color w:val="000000"/>
                      <w:sz w:val="20"/>
                      <w:szCs w:val="20"/>
                      <w:lang w:eastAsia="mk-MK"/>
                    </w:rPr>
                  </w:pPr>
                  <w:r w:rsidRPr="00556EB0">
                    <w:rPr>
                      <w:rFonts w:cs="Tahoma"/>
                      <w:b/>
                      <w:bCs/>
                      <w:color w:val="000000"/>
                      <w:sz w:val="20"/>
                      <w:szCs w:val="20"/>
                      <w:lang w:eastAsia="mk-MK"/>
                    </w:rPr>
                    <w:t xml:space="preserve">Structure of total income </w:t>
                  </w:r>
                </w:p>
                <w:p w:rsidR="00280598" w:rsidRPr="006061AF" w:rsidRDefault="00280598" w:rsidP="00795205">
                  <w:pPr>
                    <w:tabs>
                      <w:tab w:val="left" w:pos="90"/>
                    </w:tabs>
                    <w:jc w:val="left"/>
                    <w:rPr>
                      <w:noProof/>
                      <w:sz w:val="18"/>
                      <w:szCs w:val="18"/>
                    </w:rPr>
                  </w:pPr>
                  <w:r w:rsidRPr="006061AF">
                    <w:rPr>
                      <w:rFonts w:cs="Tahoma"/>
                      <w:color w:val="000000"/>
                      <w:sz w:val="18"/>
                      <w:szCs w:val="18"/>
                      <w:lang w:eastAsia="mk-MK"/>
                    </w:rPr>
                    <w:t xml:space="preserve">in % </w:t>
                  </w:r>
                  <w:r w:rsidRPr="006061AF">
                    <w:rPr>
                      <w:sz w:val="18"/>
                      <w:szCs w:val="18"/>
                    </w:rPr>
                    <w:t xml:space="preserve"> </w:t>
                  </w:r>
                </w:p>
                <w:p w:rsidR="00280598" w:rsidRPr="000B3C50" w:rsidRDefault="00280598" w:rsidP="00795205">
                  <w:pPr>
                    <w:tabs>
                      <w:tab w:val="left" w:pos="90"/>
                    </w:tabs>
                    <w:jc w:val="left"/>
                    <w:rPr>
                      <w:sz w:val="18"/>
                      <w:szCs w:val="18"/>
                      <w:lang w:val="mk-MK"/>
                    </w:rPr>
                  </w:pPr>
                  <w:r w:rsidRPr="004E4FB5">
                    <w:rPr>
                      <w:noProof/>
                    </w:rPr>
                    <w:drawing>
                      <wp:inline distT="0" distB="0" distL="0" distR="0">
                        <wp:extent cx="2505075" cy="1943100"/>
                        <wp:effectExtent l="19050" t="0" r="9525" b="0"/>
                        <wp:docPr id="9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2204" cy="1940873"/>
                                </a:xfrm>
                                <a:prstGeom prst="rect">
                                  <a:avLst/>
                                </a:prstGeom>
                                <a:noFill/>
                                <a:ln>
                                  <a:noFill/>
                                </a:ln>
                              </pic:spPr>
                            </pic:pic>
                          </a:graphicData>
                        </a:graphic>
                      </wp:inline>
                    </w:drawing>
                  </w:r>
                </w:p>
                <w:p w:rsidR="00280598" w:rsidRPr="003A3FDD" w:rsidRDefault="00280598" w:rsidP="00795205">
                  <w:pPr>
                    <w:tabs>
                      <w:tab w:val="left" w:pos="90"/>
                    </w:tabs>
                    <w:rPr>
                      <w:lang w:val="mk-MK"/>
                    </w:rPr>
                  </w:pPr>
                  <w:r>
                    <w:rPr>
                      <w:sz w:val="18"/>
                      <w:szCs w:val="18"/>
                    </w:rPr>
                    <w:t>Source: NBRM, based on data submitted by banks.</w:t>
                  </w:r>
                </w:p>
                <w:p w:rsidR="00280598" w:rsidRPr="003A3FDD" w:rsidRDefault="00280598" w:rsidP="00795205">
                  <w:pPr>
                    <w:tabs>
                      <w:tab w:val="left" w:pos="90"/>
                    </w:tabs>
                    <w:rPr>
                      <w:lang w:val="mk-MK"/>
                    </w:rPr>
                  </w:pPr>
                </w:p>
                <w:p w:rsidR="00280598" w:rsidRDefault="00280598" w:rsidP="00795205">
                  <w:pPr>
                    <w:pStyle w:val="Caption"/>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Pr="008476D5" w:rsidRDefault="00280598" w:rsidP="00795205">
                  <w:pPr>
                    <w:tabs>
                      <w:tab w:val="left" w:pos="90"/>
                    </w:tabs>
                    <w:rPr>
                      <w:sz w:val="20"/>
                      <w:szCs w:val="20"/>
                      <w:lang w:val="mk-MK"/>
                    </w:rPr>
                  </w:pPr>
                  <w:r w:rsidRPr="008476D5">
                    <w:rPr>
                      <w:sz w:val="20"/>
                      <w:szCs w:val="20"/>
                      <w:lang w:val="mk-MK"/>
                    </w:rPr>
                    <w:t>Извор:</w:t>
                  </w:r>
                </w:p>
              </w:txbxContent>
            </v:textbox>
            <w10:wrap type="square" anchorx="margin" anchory="margin"/>
          </v:shape>
        </w:pict>
      </w:r>
      <w:r w:rsidR="00795205" w:rsidRPr="00392EE2">
        <w:rPr>
          <w:rFonts w:cs="Tahoma"/>
        </w:rPr>
        <w:t>The increase in the net income from commission (of Denar 128.4 million, or 3.4%) is twice lower than the increase recorded in the previous year, while other income components (other regular income and extraordinary income) decreased</w:t>
      </w:r>
      <w:r w:rsidR="00795205" w:rsidRPr="00392EE2">
        <w:rPr>
          <w:rStyle w:val="FootnoteReference"/>
          <w:rFonts w:cs="Tahoma"/>
        </w:rPr>
        <w:footnoteReference w:id="88"/>
      </w:r>
      <w:r w:rsidR="00795205" w:rsidRPr="00392EE2">
        <w:rPr>
          <w:rFonts w:cs="Tahoma"/>
        </w:rPr>
        <w:t>. In line with such movements, only the share of net interest income increased in the structure of total income (by 1.6 percentage points), and it remains to be the largest.</w:t>
      </w:r>
    </w:p>
    <w:p w:rsidR="00280598" w:rsidRPr="00392EE2" w:rsidRDefault="00280598" w:rsidP="002D03ED">
      <w:pPr>
        <w:ind w:firstLine="450"/>
        <w:rPr>
          <w:rFonts w:cs="Tahoma"/>
        </w:rPr>
      </w:pPr>
    </w:p>
    <w:p w:rsidR="00795205" w:rsidRPr="00392EE2" w:rsidRDefault="00795205" w:rsidP="00795205">
      <w:pPr>
        <w:ind w:firstLine="450"/>
        <w:rPr>
          <w:rFonts w:cs="Tahoma"/>
        </w:rPr>
      </w:pPr>
      <w:r w:rsidRPr="00392EE2">
        <w:rPr>
          <w:rFonts w:cs="Tahoma"/>
        </w:rPr>
        <w:t xml:space="preserve">The main reason for the minimally reduced total interest income is the declining interest income of non-financial companies and financial institutions. In circumstances of slower annual credit growth to the corporate sector, annual growth in non-performing loans for which interest income is not recognized, and reduced lending rates, the interest income from non-financial companies is lower by Denar 581.5 million (or 6.4%), compared with the previous year. The lower amount of interest income from financial </w:t>
      </w:r>
      <w:r w:rsidRPr="00392EE2">
        <w:rPr>
          <w:rFonts w:cs="Tahoma"/>
        </w:rPr>
        <w:lastRenderedPageBreak/>
        <w:t>institutions by Denar 234.4 million, or 13.3%, is entirely due to the lower interest income of the Central Bank, because of the lower yields and lower banks' investments in CB bills</w:t>
      </w:r>
      <w:r w:rsidRPr="00392EE2">
        <w:rPr>
          <w:rStyle w:val="FootnoteReference"/>
          <w:rFonts w:cs="Tahoma"/>
        </w:rPr>
        <w:footnoteReference w:id="89"/>
      </w:r>
      <w:r w:rsidRPr="00392EE2">
        <w:rPr>
          <w:rFonts w:cs="Tahoma"/>
        </w:rPr>
        <w:t xml:space="preserve"> which banks have directed toward government securities that bear higher yield.</w:t>
      </w:r>
    </w:p>
    <w:p w:rsidR="00795205" w:rsidRPr="00392EE2" w:rsidRDefault="00795205" w:rsidP="00795205">
      <w:pPr>
        <w:ind w:firstLine="709"/>
        <w:rPr>
          <w:rFonts w:cs="Tahoma"/>
        </w:rPr>
      </w:pPr>
    </w:p>
    <w:p w:rsidR="00795205" w:rsidRPr="00392EE2" w:rsidRDefault="00803610" w:rsidP="00795205">
      <w:pPr>
        <w:tabs>
          <w:tab w:val="left" w:pos="450"/>
        </w:tabs>
        <w:ind w:firstLine="450"/>
        <w:rPr>
          <w:rFonts w:cs="Tahoma"/>
        </w:rPr>
      </w:pPr>
      <w:r>
        <w:rPr>
          <w:rFonts w:cs="Tahoma"/>
          <w:noProof/>
        </w:rPr>
        <w:pict>
          <v:shape id="_x0000_s1260" type="#_x0000_t202" style="position:absolute;left:0;text-align:left;margin-left:-226.5pt;margin-top:94.65pt;width:214.7pt;height:200.25pt;z-index:25178009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" stroked="f">
            <v:textbox style="mso-next-textbox:#_x0000_s1260">
              <w:txbxContent>
                <w:p w:rsidR="00280598" w:rsidRPr="00B6232B" w:rsidRDefault="00280598" w:rsidP="00280598">
                  <w:pPr>
                    <w:pStyle w:val="Caption"/>
                    <w:rPr>
                      <w:rFonts w:cs="Tahoma"/>
                      <w:b w:val="0"/>
                      <w:lang w:val="mk-MK"/>
                    </w:rPr>
                  </w:pPr>
                  <w:r>
                    <w:t xml:space="preserve">Chart </w:t>
                  </w:r>
                  <w:fldSimple w:instr=" SEQ Графикон_бр. \* ARABIC ">
                    <w:r w:rsidR="00B0531C">
                      <w:rPr>
                        <w:noProof/>
                      </w:rPr>
                      <w:t>105</w:t>
                    </w:r>
                  </w:fldSimple>
                  <w:r w:rsidRPr="00E8302F">
                    <w:rPr>
                      <w:rFonts w:cs="Tahoma"/>
                      <w:lang w:val="mk-MK"/>
                    </w:rPr>
                    <w:t xml:space="preserve"> </w:t>
                  </w:r>
                </w:p>
                <w:p w:rsidR="00280598" w:rsidRPr="00280598" w:rsidRDefault="00280598" w:rsidP="00795205">
                  <w:pPr>
                    <w:tabs>
                      <w:tab w:val="left" w:pos="90"/>
                    </w:tabs>
                    <w:jc w:val="left"/>
                    <w:rPr>
                      <w:rFonts w:cs="Tahoma"/>
                      <w:b/>
                      <w:bCs/>
                      <w:sz w:val="20"/>
                      <w:szCs w:val="20"/>
                    </w:rPr>
                  </w:pPr>
                  <w:r w:rsidRPr="00280598">
                    <w:rPr>
                      <w:rFonts w:cs="Tahoma"/>
                      <w:b/>
                      <w:bCs/>
                      <w:sz w:val="20"/>
                      <w:szCs w:val="20"/>
                    </w:rPr>
                    <w:t xml:space="preserve">Sector structure of interest income </w:t>
                  </w:r>
                </w:p>
                <w:p w:rsidR="00280598" w:rsidRDefault="00280598" w:rsidP="00795205">
                  <w:pPr>
                    <w:tabs>
                      <w:tab w:val="left" w:pos="90"/>
                    </w:tabs>
                    <w:jc w:val="left"/>
                    <w:rPr>
                      <w:sz w:val="18"/>
                      <w:szCs w:val="18"/>
                    </w:rPr>
                  </w:pPr>
                  <w:r w:rsidRPr="006061AF">
                    <w:rPr>
                      <w:rFonts w:cs="Tahoma"/>
                      <w:color w:val="000000"/>
                      <w:sz w:val="18"/>
                      <w:szCs w:val="18"/>
                      <w:lang w:eastAsia="mk-MK"/>
                    </w:rPr>
                    <w:t xml:space="preserve">in % </w:t>
                  </w:r>
                  <w:r w:rsidRPr="006061AF">
                    <w:rPr>
                      <w:sz w:val="18"/>
                      <w:szCs w:val="18"/>
                    </w:rPr>
                    <w:t xml:space="preserve"> </w:t>
                  </w:r>
                </w:p>
                <w:p w:rsidR="00280598" w:rsidRPr="006061AF" w:rsidRDefault="00280598" w:rsidP="00795205">
                  <w:pPr>
                    <w:tabs>
                      <w:tab w:val="left" w:pos="90"/>
                    </w:tabs>
                    <w:jc w:val="left"/>
                    <w:rPr>
                      <w:sz w:val="18"/>
                      <w:szCs w:val="18"/>
                    </w:rPr>
                  </w:pPr>
                  <w:r w:rsidRPr="004E4FB5">
                    <w:rPr>
                      <w:noProof/>
                    </w:rPr>
                    <w:drawing>
                      <wp:inline distT="0" distB="0" distL="0" distR="0">
                        <wp:extent cx="2542834" cy="1717481"/>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0" cy="1718140"/>
                                </a:xfrm>
                                <a:prstGeom prst="rect">
                                  <a:avLst/>
                                </a:prstGeom>
                                <a:noFill/>
                                <a:ln>
                                  <a:noFill/>
                                </a:ln>
                              </pic:spPr>
                            </pic:pic>
                          </a:graphicData>
                        </a:graphic>
                      </wp:inline>
                    </w:drawing>
                  </w:r>
                </w:p>
                <w:p w:rsidR="00280598" w:rsidRPr="003A3FDD" w:rsidRDefault="00280598" w:rsidP="00795205">
                  <w:pPr>
                    <w:tabs>
                      <w:tab w:val="left" w:pos="90"/>
                    </w:tabs>
                    <w:rPr>
                      <w:lang w:val="mk-MK"/>
                    </w:rPr>
                  </w:pPr>
                  <w:r>
                    <w:rPr>
                      <w:sz w:val="18"/>
                      <w:szCs w:val="18"/>
                    </w:rPr>
                    <w:t>Source: NBRM, based on data submitted by banks.</w:t>
                  </w:r>
                </w:p>
                <w:p w:rsidR="00280598" w:rsidRPr="003A3FDD" w:rsidRDefault="00280598" w:rsidP="00795205">
                  <w:pPr>
                    <w:tabs>
                      <w:tab w:val="left" w:pos="90"/>
                    </w:tabs>
                    <w:rPr>
                      <w:lang w:val="mk-MK"/>
                    </w:rPr>
                  </w:pPr>
                </w:p>
                <w:p w:rsidR="00280598" w:rsidRDefault="00280598" w:rsidP="00795205">
                  <w:pPr>
                    <w:pStyle w:val="Caption"/>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Pr="008476D5" w:rsidRDefault="00280598" w:rsidP="00795205">
                  <w:pPr>
                    <w:tabs>
                      <w:tab w:val="left" w:pos="90"/>
                    </w:tabs>
                    <w:rPr>
                      <w:sz w:val="20"/>
                      <w:szCs w:val="20"/>
                      <w:lang w:val="mk-MK"/>
                    </w:rPr>
                  </w:pPr>
                  <w:r w:rsidRPr="008476D5">
                    <w:rPr>
                      <w:sz w:val="20"/>
                      <w:szCs w:val="20"/>
                      <w:lang w:val="mk-MK"/>
                    </w:rPr>
                    <w:t>Извор:</w:t>
                  </w:r>
                </w:p>
              </w:txbxContent>
            </v:textbox>
            <w10:wrap type="square" anchorx="margin" anchory="margin"/>
          </v:shape>
        </w:pict>
      </w:r>
      <w:r w:rsidR="00795205" w:rsidRPr="00392EE2">
        <w:rPr>
          <w:rFonts w:cs="Tahoma"/>
        </w:rPr>
        <w:t>In contrast, amid rapid annual credit growth to the household sector (despite the lower interest rates on loans to households), interest income from this sector rose by Denar 263.2 million, or 3.6%. Particularly emphasized is the increase in the interest income from other entities, by Denar 460.5 million, or 37.7% (compared with the end of the last year), which primarily reflects the increased interest of banks to invest in government securities</w:t>
      </w:r>
      <w:r w:rsidR="00795205" w:rsidRPr="00392EE2">
        <w:rPr>
          <w:rStyle w:val="FootnoteReference"/>
          <w:rFonts w:cs="Tahoma"/>
        </w:rPr>
        <w:footnoteReference w:id="90"/>
      </w:r>
      <w:r w:rsidR="00795205" w:rsidRPr="00392EE2">
        <w:rPr>
          <w:rFonts w:cs="Tahoma"/>
        </w:rPr>
        <w:t>.</w:t>
      </w:r>
    </w:p>
    <w:p w:rsidR="00795205" w:rsidRPr="00392EE2" w:rsidRDefault="00795205" w:rsidP="00795205">
      <w:pPr>
        <w:ind w:firstLine="709"/>
        <w:rPr>
          <w:rFonts w:cs="Tahoma"/>
        </w:rPr>
      </w:pPr>
    </w:p>
    <w:p w:rsidR="00795205" w:rsidRPr="00392EE2" w:rsidRDefault="00803610" w:rsidP="00795205">
      <w:pPr>
        <w:ind w:firstLine="450"/>
        <w:rPr>
          <w:rFonts w:cs="Tahoma"/>
        </w:rPr>
      </w:pPr>
      <w:r>
        <w:rPr>
          <w:rFonts w:cs="Tahoma"/>
          <w:noProof/>
        </w:rPr>
        <w:pict>
          <v:shape id="_x0000_s1261" type="#_x0000_t202" style="position:absolute;left:0;text-align:left;margin-left:-226.5pt;margin-top:306.15pt;width:214.7pt;height:220.5pt;z-index:25178112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" stroked="f">
            <v:textbox style="mso-next-textbox:#_x0000_s1261">
              <w:txbxContent>
                <w:p w:rsidR="00280598" w:rsidRPr="00B6232B" w:rsidRDefault="00280598" w:rsidP="00280598">
                  <w:pPr>
                    <w:pStyle w:val="Caption"/>
                    <w:rPr>
                      <w:rFonts w:cs="Tahoma"/>
                      <w:b w:val="0"/>
                      <w:lang w:val="mk-MK"/>
                    </w:rPr>
                  </w:pPr>
                  <w:r>
                    <w:t xml:space="preserve">Chart </w:t>
                  </w:r>
                  <w:fldSimple w:instr=" SEQ Графикон_бр. \* ARABIC ">
                    <w:r w:rsidR="00B0531C">
                      <w:rPr>
                        <w:noProof/>
                      </w:rPr>
                      <w:t>106</w:t>
                    </w:r>
                  </w:fldSimple>
                  <w:r w:rsidRPr="00E8302F">
                    <w:rPr>
                      <w:rFonts w:cs="Tahoma"/>
                      <w:lang w:val="mk-MK"/>
                    </w:rPr>
                    <w:t xml:space="preserve"> </w:t>
                  </w:r>
                </w:p>
                <w:p w:rsidR="00280598" w:rsidRPr="00B0531C" w:rsidRDefault="00280598" w:rsidP="00795205">
                  <w:pPr>
                    <w:tabs>
                      <w:tab w:val="left" w:pos="90"/>
                    </w:tabs>
                    <w:jc w:val="left"/>
                    <w:rPr>
                      <w:rFonts w:cs="Tahoma"/>
                      <w:b/>
                      <w:bCs/>
                      <w:sz w:val="20"/>
                      <w:szCs w:val="20"/>
                    </w:rPr>
                  </w:pPr>
                  <w:r w:rsidRPr="00B0531C">
                    <w:rPr>
                      <w:rFonts w:cs="Tahoma"/>
                      <w:b/>
                      <w:bCs/>
                      <w:sz w:val="20"/>
                      <w:szCs w:val="20"/>
                    </w:rPr>
                    <w:t xml:space="preserve">Sector structure of interest expenses </w:t>
                  </w:r>
                </w:p>
                <w:p w:rsidR="00280598" w:rsidRDefault="00280598" w:rsidP="00795205">
                  <w:pPr>
                    <w:tabs>
                      <w:tab w:val="left" w:pos="90"/>
                    </w:tabs>
                    <w:jc w:val="left"/>
                    <w:rPr>
                      <w:sz w:val="18"/>
                      <w:szCs w:val="18"/>
                    </w:rPr>
                  </w:pPr>
                  <w:r w:rsidRPr="006061AF">
                    <w:rPr>
                      <w:rFonts w:cs="Tahoma"/>
                      <w:color w:val="000000"/>
                      <w:sz w:val="18"/>
                      <w:szCs w:val="18"/>
                      <w:lang w:eastAsia="mk-MK"/>
                    </w:rPr>
                    <w:t xml:space="preserve">in % </w:t>
                  </w:r>
                  <w:r w:rsidRPr="006061AF">
                    <w:rPr>
                      <w:sz w:val="18"/>
                      <w:szCs w:val="18"/>
                    </w:rPr>
                    <w:t xml:space="preserve"> </w:t>
                  </w:r>
                </w:p>
                <w:p w:rsidR="00280598" w:rsidRPr="000B3C50" w:rsidRDefault="00280598" w:rsidP="00795205">
                  <w:pPr>
                    <w:tabs>
                      <w:tab w:val="left" w:pos="90"/>
                    </w:tabs>
                    <w:jc w:val="left"/>
                    <w:rPr>
                      <w:sz w:val="18"/>
                      <w:szCs w:val="18"/>
                      <w:lang w:val="mk-MK"/>
                    </w:rPr>
                  </w:pPr>
                  <w:r w:rsidRPr="004E4FB5">
                    <w:rPr>
                      <w:noProof/>
                    </w:rPr>
                    <w:drawing>
                      <wp:inline distT="0" distB="0" distL="0" distR="0">
                        <wp:extent cx="2544793" cy="1966823"/>
                        <wp:effectExtent l="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0" cy="1966063"/>
                                </a:xfrm>
                                <a:prstGeom prst="rect">
                                  <a:avLst/>
                                </a:prstGeom>
                                <a:noFill/>
                                <a:ln>
                                  <a:noFill/>
                                </a:ln>
                              </pic:spPr>
                            </pic:pic>
                          </a:graphicData>
                        </a:graphic>
                      </wp:inline>
                    </w:drawing>
                  </w:r>
                </w:p>
                <w:p w:rsidR="00280598" w:rsidRPr="003A3FDD" w:rsidRDefault="00280598" w:rsidP="00795205">
                  <w:pPr>
                    <w:tabs>
                      <w:tab w:val="left" w:pos="90"/>
                    </w:tabs>
                    <w:rPr>
                      <w:lang w:val="mk-MK"/>
                    </w:rPr>
                  </w:pPr>
                  <w:r>
                    <w:rPr>
                      <w:sz w:val="18"/>
                      <w:szCs w:val="18"/>
                    </w:rPr>
                    <w:t>Source: NBRM, based on data submitted by banks.</w:t>
                  </w:r>
                </w:p>
                <w:p w:rsidR="00280598" w:rsidRPr="003A3FDD" w:rsidRDefault="00280598" w:rsidP="00795205">
                  <w:pPr>
                    <w:tabs>
                      <w:tab w:val="left" w:pos="90"/>
                    </w:tabs>
                    <w:rPr>
                      <w:lang w:val="mk-MK"/>
                    </w:rPr>
                  </w:pPr>
                </w:p>
                <w:p w:rsidR="00280598" w:rsidRDefault="00280598" w:rsidP="00795205">
                  <w:pPr>
                    <w:pStyle w:val="Caption"/>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Pr="008476D5" w:rsidRDefault="00280598" w:rsidP="00795205">
                  <w:pPr>
                    <w:tabs>
                      <w:tab w:val="left" w:pos="90"/>
                    </w:tabs>
                    <w:rPr>
                      <w:sz w:val="20"/>
                      <w:szCs w:val="20"/>
                      <w:lang w:val="mk-MK"/>
                    </w:rPr>
                  </w:pPr>
                  <w:r w:rsidRPr="008476D5">
                    <w:rPr>
                      <w:sz w:val="20"/>
                      <w:szCs w:val="20"/>
                      <w:lang w:val="mk-MK"/>
                    </w:rPr>
                    <w:t>Извор:</w:t>
                  </w:r>
                </w:p>
              </w:txbxContent>
            </v:textbox>
            <w10:wrap type="square" anchorx="margin" anchory="margin"/>
          </v:shape>
        </w:pict>
      </w:r>
      <w:r w:rsidR="00795205" w:rsidRPr="00392EE2">
        <w:rPr>
          <w:rFonts w:cs="Tahoma"/>
        </w:rPr>
        <w:t>Analyzed by sector, an increase was registered in the interest income from other entities (by 2.4 percentage points) and households (by 1.5 percentage point), at the expense of the reduced share of interest income from non-financial companies (by 2,7 percentage points) and financial institutionss (by 1.2 percentage point).</w:t>
      </w:r>
    </w:p>
    <w:p w:rsidR="00795205" w:rsidRPr="00392EE2" w:rsidRDefault="00795205" w:rsidP="00795205">
      <w:pPr>
        <w:ind w:firstLine="709"/>
        <w:rPr>
          <w:rFonts w:cs="Tahoma"/>
        </w:rPr>
      </w:pPr>
    </w:p>
    <w:p w:rsidR="00795205" w:rsidRPr="00392EE2" w:rsidRDefault="00795205" w:rsidP="00795205">
      <w:pPr>
        <w:ind w:firstLine="450"/>
        <w:rPr>
          <w:rFonts w:cs="Tahoma"/>
        </w:rPr>
      </w:pPr>
      <w:r w:rsidRPr="00392EE2">
        <w:rPr>
          <w:rFonts w:cs="Tahoma"/>
        </w:rPr>
        <w:t>Banks' interest expenses to almost all sectors decreased. The interest expenses for term deposits of the household sector contributed the most (58.0%) to the decrease in the banks' total interest expenses. Given the decline in the interest rates on term Denar and foreign currency deposits of the household sector (by 0.8 and 0.7 percentage points, respectively)</w:t>
      </w:r>
      <w:r w:rsidRPr="00392EE2">
        <w:rPr>
          <w:rStyle w:val="FootnoteReference"/>
          <w:rFonts w:cs="Tahoma"/>
          <w:bCs/>
        </w:rPr>
        <w:footnoteReference w:id="91"/>
      </w:r>
      <w:r w:rsidRPr="00392EE2">
        <w:rPr>
          <w:rFonts w:cs="Tahoma"/>
        </w:rPr>
        <w:t xml:space="preserve">, the interest expenses to this sector decreased by Denar 492.9 million, or 8.8%. Also, a decline was registered in the interest expenses from non-financial </w:t>
      </w:r>
      <w:r w:rsidRPr="00392EE2">
        <w:rPr>
          <w:rFonts w:cs="Tahoma"/>
        </w:rPr>
        <w:lastRenderedPageBreak/>
        <w:t>companies</w:t>
      </w:r>
      <w:r w:rsidRPr="00392EE2">
        <w:rPr>
          <w:rStyle w:val="FootnoteReference"/>
          <w:rFonts w:cs="Tahoma"/>
        </w:rPr>
        <w:footnoteReference w:id="92"/>
      </w:r>
      <w:r w:rsidRPr="00392EE2">
        <w:rPr>
          <w:rFonts w:cs="Tahoma"/>
        </w:rPr>
        <w:t xml:space="preserve"> of Denar 191.3 million, or 19.1%, which is consistent with the most pronounced lowering of the interest rates on long-term time Denar deposits of non-financial companies. Interest expenses to other entities made an additional contribution (of 18.2%) to the decline in the interest expenses. They decreased by Denar 144.2 million, or 11.4%</w:t>
      </w:r>
      <w:r w:rsidRPr="00392EE2">
        <w:rPr>
          <w:rStyle w:val="FootnoteReference"/>
          <w:rFonts w:cs="Tahoma"/>
        </w:rPr>
        <w:footnoteReference w:id="93"/>
      </w:r>
      <w:r w:rsidRPr="00392EE2">
        <w:rPr>
          <w:rFonts w:cs="Tahoma"/>
        </w:rPr>
        <w:t xml:space="preserve"> on an annual basis. </w:t>
      </w:r>
    </w:p>
    <w:p w:rsidR="00795205" w:rsidRPr="00392EE2" w:rsidRDefault="00803610" w:rsidP="00795205">
      <w:pPr>
        <w:ind w:firstLine="709"/>
        <w:rPr>
          <w:rFonts w:cs="Tahoma"/>
        </w:rPr>
      </w:pPr>
      <w:r>
        <w:rPr>
          <w:rFonts w:cs="Tahoma"/>
          <w:noProof/>
        </w:rPr>
        <w:pict>
          <v:shape id="_x0000_s1262" type="#_x0000_t202" style="position:absolute;left:0;text-align:left;margin-left:-222.75pt;margin-top:78.9pt;width:214.7pt;height:222.4pt;z-index:25178214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" stroked="f">
            <v:textbox style="mso-next-textbox:#_x0000_s1262">
              <w:txbxContent>
                <w:p w:rsidR="00280598" w:rsidRPr="00B6232B" w:rsidRDefault="00280598" w:rsidP="00280598">
                  <w:pPr>
                    <w:pStyle w:val="Caption"/>
                    <w:rPr>
                      <w:rFonts w:cs="Tahoma"/>
                      <w:b w:val="0"/>
                      <w:lang w:val="mk-MK"/>
                    </w:rPr>
                  </w:pPr>
                  <w:r>
                    <w:t xml:space="preserve">Chart </w:t>
                  </w:r>
                  <w:fldSimple w:instr=" SEQ Графикон_бр. \* ARABIC ">
                    <w:r w:rsidR="00B0531C">
                      <w:rPr>
                        <w:noProof/>
                      </w:rPr>
                      <w:t>107</w:t>
                    </w:r>
                  </w:fldSimple>
                  <w:r w:rsidRPr="00E8302F">
                    <w:rPr>
                      <w:rFonts w:cs="Tahoma"/>
                      <w:lang w:val="mk-MK"/>
                    </w:rPr>
                    <w:t xml:space="preserve"> </w:t>
                  </w:r>
                </w:p>
                <w:p w:rsidR="00280598" w:rsidRPr="00B0531C" w:rsidRDefault="00280598" w:rsidP="00795205">
                  <w:pPr>
                    <w:tabs>
                      <w:tab w:val="left" w:pos="90"/>
                    </w:tabs>
                    <w:jc w:val="left"/>
                    <w:rPr>
                      <w:rFonts w:cs="Tahoma"/>
                      <w:b/>
                      <w:bCs/>
                      <w:sz w:val="20"/>
                      <w:szCs w:val="20"/>
                    </w:rPr>
                  </w:pPr>
                  <w:r w:rsidRPr="00B0531C">
                    <w:rPr>
                      <w:rFonts w:cs="Tahoma"/>
                      <w:b/>
                      <w:bCs/>
                      <w:sz w:val="20"/>
                      <w:szCs w:val="20"/>
                    </w:rPr>
                    <w:t xml:space="preserve">Structure of operating costs </w:t>
                  </w:r>
                </w:p>
                <w:p w:rsidR="00280598" w:rsidRPr="006061AF" w:rsidRDefault="00280598" w:rsidP="00795205">
                  <w:pPr>
                    <w:tabs>
                      <w:tab w:val="left" w:pos="90"/>
                    </w:tabs>
                    <w:jc w:val="left"/>
                    <w:rPr>
                      <w:sz w:val="18"/>
                      <w:szCs w:val="18"/>
                    </w:rPr>
                  </w:pPr>
                  <w:r w:rsidRPr="006061AF">
                    <w:rPr>
                      <w:rFonts w:cs="Tahoma"/>
                      <w:color w:val="000000"/>
                      <w:sz w:val="18"/>
                      <w:szCs w:val="18"/>
                      <w:lang w:eastAsia="mk-MK"/>
                    </w:rPr>
                    <w:t xml:space="preserve">in % </w:t>
                  </w:r>
                  <w:r w:rsidRPr="006061AF">
                    <w:rPr>
                      <w:sz w:val="18"/>
                      <w:szCs w:val="18"/>
                    </w:rPr>
                    <w:t xml:space="preserve"> </w:t>
                  </w:r>
                </w:p>
                <w:p w:rsidR="00280598" w:rsidRDefault="00280598" w:rsidP="00795205">
                  <w:pPr>
                    <w:tabs>
                      <w:tab w:val="left" w:pos="90"/>
                    </w:tabs>
                    <w:jc w:val="left"/>
                    <w:rPr>
                      <w:noProof/>
                    </w:rPr>
                  </w:pPr>
                  <w:r w:rsidRPr="006F03DD">
                    <w:rPr>
                      <w:noProof/>
                    </w:rPr>
                    <w:drawing>
                      <wp:inline distT="0" distB="0" distL="0" distR="0">
                        <wp:extent cx="2538041" cy="2009955"/>
                        <wp:effectExtent l="0" t="0" r="0" b="0"/>
                        <wp:docPr id="9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0" cy="2014524"/>
                                </a:xfrm>
                                <a:prstGeom prst="rect">
                                  <a:avLst/>
                                </a:prstGeom>
                                <a:noFill/>
                                <a:ln>
                                  <a:noFill/>
                                </a:ln>
                              </pic:spPr>
                            </pic:pic>
                          </a:graphicData>
                        </a:graphic>
                      </wp:inline>
                    </w:drawing>
                  </w:r>
                </w:p>
                <w:p w:rsidR="00280598" w:rsidRPr="003A3FDD" w:rsidRDefault="00280598" w:rsidP="00795205">
                  <w:pPr>
                    <w:tabs>
                      <w:tab w:val="left" w:pos="90"/>
                    </w:tabs>
                    <w:rPr>
                      <w:lang w:val="mk-MK"/>
                    </w:rPr>
                  </w:pPr>
                  <w:r>
                    <w:rPr>
                      <w:sz w:val="18"/>
                      <w:szCs w:val="18"/>
                    </w:rPr>
                    <w:t>Source: NBRM, based on data submitted by banks.</w:t>
                  </w:r>
                </w:p>
                <w:p w:rsidR="00280598" w:rsidRPr="003A3FDD" w:rsidRDefault="00280598" w:rsidP="00795205">
                  <w:pPr>
                    <w:tabs>
                      <w:tab w:val="left" w:pos="90"/>
                    </w:tabs>
                    <w:rPr>
                      <w:lang w:val="mk-MK"/>
                    </w:rPr>
                  </w:pPr>
                </w:p>
                <w:p w:rsidR="00280598" w:rsidRDefault="00280598" w:rsidP="00795205">
                  <w:pPr>
                    <w:pStyle w:val="Caption"/>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Pr="008476D5" w:rsidRDefault="00280598" w:rsidP="00795205">
                  <w:pPr>
                    <w:tabs>
                      <w:tab w:val="left" w:pos="90"/>
                    </w:tabs>
                    <w:rPr>
                      <w:sz w:val="20"/>
                      <w:szCs w:val="20"/>
                      <w:lang w:val="mk-MK"/>
                    </w:rPr>
                  </w:pPr>
                  <w:r w:rsidRPr="008476D5">
                    <w:rPr>
                      <w:sz w:val="20"/>
                      <w:szCs w:val="20"/>
                      <w:lang w:val="mk-MK"/>
                    </w:rPr>
                    <w:t>Извор:</w:t>
                  </w:r>
                </w:p>
              </w:txbxContent>
            </v:textbox>
            <w10:wrap type="square" anchorx="margin" anchory="margin"/>
          </v:shape>
        </w:pict>
      </w:r>
    </w:p>
    <w:p w:rsidR="00795205" w:rsidRPr="00392EE2" w:rsidRDefault="00803610" w:rsidP="00795205">
      <w:pPr>
        <w:tabs>
          <w:tab w:val="left" w:pos="450"/>
        </w:tabs>
        <w:ind w:firstLine="450"/>
        <w:rPr>
          <w:rFonts w:cs="Tahoma"/>
        </w:rPr>
      </w:pPr>
      <w:r>
        <w:rPr>
          <w:rFonts w:cs="Tahoma"/>
          <w:noProof/>
        </w:rPr>
        <w:pict>
          <v:shape id="_x0000_s1266" type="#_x0000_t202" style="position:absolute;left:0;text-align:left;margin-left:-222.75pt;margin-top:309.15pt;width:214.7pt;height:212.25pt;z-index:2517862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" stroked="f">
            <v:textbox style="mso-next-textbox:#_x0000_s1266">
              <w:txbxContent>
                <w:p w:rsidR="00280598" w:rsidRPr="00B6232B" w:rsidRDefault="00280598" w:rsidP="00280598">
                  <w:pPr>
                    <w:pStyle w:val="Caption"/>
                    <w:rPr>
                      <w:rFonts w:cs="Tahoma"/>
                      <w:b w:val="0"/>
                      <w:lang w:val="mk-MK"/>
                    </w:rPr>
                  </w:pPr>
                  <w:r>
                    <w:t xml:space="preserve">Chart </w:t>
                  </w:r>
                  <w:fldSimple w:instr=" SEQ Графикон_бр. \* ARABIC ">
                    <w:r w:rsidR="00B0531C">
                      <w:rPr>
                        <w:noProof/>
                      </w:rPr>
                      <w:t>108</w:t>
                    </w:r>
                  </w:fldSimple>
                  <w:r w:rsidRPr="00E8302F">
                    <w:rPr>
                      <w:rFonts w:cs="Tahoma"/>
                      <w:lang w:val="mk-MK"/>
                    </w:rPr>
                    <w:t xml:space="preserve"> </w:t>
                  </w:r>
                </w:p>
                <w:p w:rsidR="00280598" w:rsidRPr="00B0531C" w:rsidRDefault="00280598" w:rsidP="00795205">
                  <w:pPr>
                    <w:tabs>
                      <w:tab w:val="left" w:pos="90"/>
                    </w:tabs>
                    <w:jc w:val="left"/>
                    <w:rPr>
                      <w:rFonts w:cs="Tahoma"/>
                      <w:b/>
                      <w:bCs/>
                      <w:sz w:val="20"/>
                      <w:szCs w:val="20"/>
                    </w:rPr>
                  </w:pPr>
                  <w:r w:rsidRPr="00B0531C">
                    <w:rPr>
                      <w:rFonts w:cs="Tahoma"/>
                      <w:b/>
                      <w:bCs/>
                      <w:sz w:val="20"/>
                      <w:szCs w:val="20"/>
                    </w:rPr>
                    <w:t xml:space="preserve">Usage of total income </w:t>
                  </w:r>
                </w:p>
                <w:p w:rsidR="00280598" w:rsidRPr="006061AF" w:rsidRDefault="00280598" w:rsidP="00795205">
                  <w:pPr>
                    <w:tabs>
                      <w:tab w:val="left" w:pos="90"/>
                    </w:tabs>
                    <w:jc w:val="left"/>
                    <w:rPr>
                      <w:sz w:val="18"/>
                      <w:szCs w:val="18"/>
                    </w:rPr>
                  </w:pPr>
                  <w:r w:rsidRPr="006061AF">
                    <w:rPr>
                      <w:rFonts w:cs="Tahoma"/>
                      <w:color w:val="000000"/>
                      <w:sz w:val="18"/>
                      <w:szCs w:val="18"/>
                      <w:lang w:eastAsia="mk-MK"/>
                    </w:rPr>
                    <w:t xml:space="preserve">in % </w:t>
                  </w:r>
                  <w:r w:rsidRPr="006061AF">
                    <w:rPr>
                      <w:sz w:val="18"/>
                      <w:szCs w:val="18"/>
                    </w:rPr>
                    <w:t xml:space="preserve"> </w:t>
                  </w:r>
                </w:p>
                <w:p w:rsidR="00280598" w:rsidRDefault="00280598" w:rsidP="00795205">
                  <w:pPr>
                    <w:tabs>
                      <w:tab w:val="left" w:pos="90"/>
                    </w:tabs>
                    <w:jc w:val="left"/>
                    <w:rPr>
                      <w:noProof/>
                    </w:rPr>
                  </w:pPr>
                  <w:r w:rsidRPr="006F03DD">
                    <w:rPr>
                      <w:noProof/>
                    </w:rPr>
                    <w:drawing>
                      <wp:inline distT="0" distB="0" distL="0" distR="0">
                        <wp:extent cx="2543810" cy="1861372"/>
                        <wp:effectExtent l="0" t="0" r="0" b="0"/>
                        <wp:docPr id="9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0" cy="1861372"/>
                                </a:xfrm>
                                <a:prstGeom prst="rect">
                                  <a:avLst/>
                                </a:prstGeom>
                                <a:noFill/>
                                <a:ln>
                                  <a:noFill/>
                                </a:ln>
                              </pic:spPr>
                            </pic:pic>
                          </a:graphicData>
                        </a:graphic>
                      </wp:inline>
                    </w:drawing>
                  </w:r>
                </w:p>
                <w:p w:rsidR="00280598" w:rsidRPr="003A3FDD" w:rsidRDefault="00280598" w:rsidP="00795205">
                  <w:pPr>
                    <w:tabs>
                      <w:tab w:val="left" w:pos="90"/>
                    </w:tabs>
                    <w:rPr>
                      <w:lang w:val="mk-MK"/>
                    </w:rPr>
                  </w:pPr>
                  <w:r>
                    <w:rPr>
                      <w:sz w:val="18"/>
                      <w:szCs w:val="18"/>
                    </w:rPr>
                    <w:t>Source: NBRM, based on data submitted by banks.</w:t>
                  </w:r>
                </w:p>
                <w:p w:rsidR="00280598" w:rsidRPr="003A3FDD" w:rsidRDefault="00280598" w:rsidP="00795205">
                  <w:pPr>
                    <w:tabs>
                      <w:tab w:val="left" w:pos="90"/>
                    </w:tabs>
                    <w:rPr>
                      <w:lang w:val="mk-MK"/>
                    </w:rPr>
                  </w:pPr>
                </w:p>
                <w:p w:rsidR="00280598" w:rsidRDefault="00280598" w:rsidP="00795205">
                  <w:pPr>
                    <w:pStyle w:val="Caption"/>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Pr="008476D5" w:rsidRDefault="00280598" w:rsidP="00795205">
                  <w:pPr>
                    <w:tabs>
                      <w:tab w:val="left" w:pos="90"/>
                    </w:tabs>
                    <w:rPr>
                      <w:sz w:val="20"/>
                      <w:szCs w:val="20"/>
                      <w:lang w:val="mk-MK"/>
                    </w:rPr>
                  </w:pPr>
                  <w:r w:rsidRPr="008476D5">
                    <w:rPr>
                      <w:sz w:val="20"/>
                      <w:szCs w:val="20"/>
                      <w:lang w:val="mk-MK"/>
                    </w:rPr>
                    <w:t>Извор:</w:t>
                  </w:r>
                </w:p>
              </w:txbxContent>
            </v:textbox>
            <w10:wrap type="square" anchorx="margin" anchory="margin"/>
          </v:shape>
        </w:pict>
      </w:r>
      <w:r w:rsidR="00795205" w:rsidRPr="00392EE2">
        <w:rPr>
          <w:rFonts w:cs="Tahoma"/>
        </w:rPr>
        <w:t>In 2013, banks' operating costs</w:t>
      </w:r>
      <w:r w:rsidR="00795205" w:rsidRPr="00392EE2">
        <w:rPr>
          <w:rStyle w:val="FootnoteReference"/>
          <w:rFonts w:cs="Tahoma"/>
        </w:rPr>
        <w:footnoteReference w:id="94"/>
      </w:r>
      <w:r w:rsidR="00795205" w:rsidRPr="00392EE2">
        <w:rPr>
          <w:rFonts w:cs="Tahoma"/>
        </w:rPr>
        <w:t xml:space="preserve"> registered a slight increase (of Denar 22.9 million, or 0.2%) relative to the previous year. In these frames, the largest increase in absolute amounts was recorded in the expenses for employees (by Denar 245.7 million), amid a small increase in the number of employees, while more pronounced annual increase of Denar 88.5 million or 7.2% was registered in deposit insurance premiums</w:t>
      </w:r>
      <w:r w:rsidR="00795205" w:rsidRPr="00392EE2">
        <w:rPr>
          <w:rStyle w:val="FootnoteReference"/>
          <w:rFonts w:cs="Tahoma"/>
        </w:rPr>
        <w:footnoteReference w:id="95"/>
      </w:r>
      <w:r w:rsidR="00795205" w:rsidRPr="00392EE2">
        <w:rPr>
          <w:rFonts w:cs="Tahoma"/>
        </w:rPr>
        <w:t>. On the other hand, a decline was registered in the depreciation (by Denar 71.4 million, or 6.6%) and in the general and administrative expenses (by 8.2 million, or 0.2%). For several years there has been a significant change in the category "other operating costs"</w:t>
      </w:r>
      <w:r w:rsidR="00795205" w:rsidRPr="00392EE2">
        <w:rPr>
          <w:rStyle w:val="FootnoteReference"/>
          <w:rFonts w:cs="Tahoma"/>
        </w:rPr>
        <w:footnoteReference w:id="96"/>
      </w:r>
      <w:r w:rsidR="00795205" w:rsidRPr="00392EE2">
        <w:rPr>
          <w:rFonts w:cs="Tahoma"/>
        </w:rPr>
        <w:t xml:space="preserve">, which by default should not register significant fluctuations. In fact, during 2012, expenditures on other basis, which are part of the category "other operating costs", increased by Denar 243 million, or 59.5%, as a result of one bank in the country, while in 2013, these costs fell by Denar 331 million, or 50.8%, respectively, i.e. they were reduced close to the level of 2011. If the effect of this is excluded, other operating costs of the banking system at the end of 2013 would register a significant increase as a result of the growth of the special reserve for off-balance sheet exposure by Denar 33.9 million, or 6.4%, and of the five-time </w:t>
      </w:r>
      <w:r w:rsidR="00795205" w:rsidRPr="00392EE2">
        <w:rPr>
          <w:rFonts w:cs="Tahoma"/>
        </w:rPr>
        <w:lastRenderedPageBreak/>
        <w:t>increase in other provisions by Denar 65.4 million</w:t>
      </w:r>
      <w:r w:rsidR="00795205" w:rsidRPr="00392EE2">
        <w:rPr>
          <w:rStyle w:val="FootnoteReference"/>
          <w:rFonts w:cs="Tahoma"/>
        </w:rPr>
        <w:footnoteReference w:id="97"/>
      </w:r>
      <w:r w:rsidR="00795205" w:rsidRPr="00392EE2">
        <w:rPr>
          <w:rFonts w:cs="Tahoma"/>
        </w:rPr>
        <w:t>.</w:t>
      </w:r>
    </w:p>
    <w:p w:rsidR="00795205" w:rsidRPr="00392EE2" w:rsidRDefault="00803610" w:rsidP="00795205">
      <w:pPr>
        <w:ind w:firstLine="709"/>
        <w:rPr>
          <w:rFonts w:cs="Tahoma"/>
        </w:rPr>
      </w:pPr>
      <w:r>
        <w:rPr>
          <w:rFonts w:cs="Tahoma"/>
          <w:noProof/>
        </w:rPr>
        <w:pict>
          <v:shape id="_x0000_s1265" type="#_x0000_t202" style="position:absolute;left:0;text-align:left;margin-left:-228pt;margin-top:3.9pt;width:214.7pt;height:190.85pt;z-index:25178521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" stroked="f">
            <v:textbox style="mso-next-textbox:#_x0000_s1265">
              <w:txbxContent>
                <w:p w:rsidR="00280598" w:rsidRPr="00B6232B" w:rsidRDefault="00280598" w:rsidP="00280598">
                  <w:pPr>
                    <w:pStyle w:val="Caption"/>
                    <w:rPr>
                      <w:rFonts w:cs="Tahoma"/>
                      <w:b w:val="0"/>
                      <w:lang w:val="mk-MK"/>
                    </w:rPr>
                  </w:pPr>
                  <w:r>
                    <w:t xml:space="preserve">Chart </w:t>
                  </w:r>
                  <w:fldSimple w:instr=" SEQ Графикон_бр. \* ARABIC ">
                    <w:r w:rsidR="0082085A">
                      <w:rPr>
                        <w:noProof/>
                      </w:rPr>
                      <w:t>109</w:t>
                    </w:r>
                  </w:fldSimple>
                  <w:r w:rsidRPr="00E8302F">
                    <w:rPr>
                      <w:rFonts w:cs="Tahoma"/>
                      <w:lang w:val="mk-MK"/>
                    </w:rPr>
                    <w:t xml:space="preserve"> </w:t>
                  </w:r>
                </w:p>
                <w:p w:rsidR="00280598" w:rsidRPr="00B0531C" w:rsidRDefault="00280598" w:rsidP="00795205">
                  <w:pPr>
                    <w:tabs>
                      <w:tab w:val="left" w:pos="90"/>
                    </w:tabs>
                    <w:jc w:val="left"/>
                    <w:rPr>
                      <w:rFonts w:cs="Tahoma"/>
                      <w:b/>
                      <w:sz w:val="20"/>
                      <w:szCs w:val="20"/>
                    </w:rPr>
                  </w:pPr>
                  <w:r w:rsidRPr="00B0531C">
                    <w:rPr>
                      <w:rFonts w:cs="Tahoma"/>
                      <w:b/>
                      <w:sz w:val="20"/>
                      <w:szCs w:val="20"/>
                    </w:rPr>
                    <w:t xml:space="preserve">Efficiency indicators of banks </w:t>
                  </w:r>
                </w:p>
                <w:p w:rsidR="00280598" w:rsidRPr="006061AF" w:rsidRDefault="00280598" w:rsidP="00795205">
                  <w:pPr>
                    <w:tabs>
                      <w:tab w:val="left" w:pos="90"/>
                    </w:tabs>
                    <w:jc w:val="left"/>
                    <w:rPr>
                      <w:sz w:val="18"/>
                      <w:szCs w:val="18"/>
                    </w:rPr>
                  </w:pPr>
                  <w:r w:rsidRPr="006061AF">
                    <w:rPr>
                      <w:rFonts w:cs="Tahoma"/>
                      <w:color w:val="000000"/>
                      <w:sz w:val="18"/>
                      <w:szCs w:val="18"/>
                      <w:lang w:eastAsia="mk-MK"/>
                    </w:rPr>
                    <w:t xml:space="preserve">in % </w:t>
                  </w:r>
                  <w:r w:rsidRPr="006061AF">
                    <w:rPr>
                      <w:sz w:val="18"/>
                      <w:szCs w:val="18"/>
                    </w:rPr>
                    <w:t xml:space="preserve"> </w:t>
                  </w:r>
                </w:p>
                <w:p w:rsidR="00280598" w:rsidRPr="000B3C50" w:rsidRDefault="00280598" w:rsidP="00795205">
                  <w:pPr>
                    <w:tabs>
                      <w:tab w:val="left" w:pos="90"/>
                    </w:tabs>
                    <w:jc w:val="left"/>
                    <w:rPr>
                      <w:sz w:val="18"/>
                      <w:szCs w:val="18"/>
                      <w:lang w:val="mk-MK"/>
                    </w:rPr>
                  </w:pPr>
                  <w:r w:rsidRPr="006F03DD">
                    <w:rPr>
                      <w:noProof/>
                    </w:rPr>
                    <w:drawing>
                      <wp:inline distT="0" distB="0" distL="0" distR="0">
                        <wp:extent cx="2536387" cy="1590261"/>
                        <wp:effectExtent l="0" t="0" r="0" b="0"/>
                        <wp:docPr id="9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1" cy="1594915"/>
                                </a:xfrm>
                                <a:prstGeom prst="rect">
                                  <a:avLst/>
                                </a:prstGeom>
                                <a:noFill/>
                                <a:ln>
                                  <a:noFill/>
                                </a:ln>
                              </pic:spPr>
                            </pic:pic>
                          </a:graphicData>
                        </a:graphic>
                      </wp:inline>
                    </w:drawing>
                  </w:r>
                </w:p>
                <w:p w:rsidR="00280598" w:rsidRDefault="00280598" w:rsidP="00795205">
                  <w:pPr>
                    <w:tabs>
                      <w:tab w:val="left" w:pos="90"/>
                    </w:tabs>
                    <w:rPr>
                      <w:lang w:val="mk-MK"/>
                    </w:rPr>
                  </w:pPr>
                  <w:r>
                    <w:rPr>
                      <w:sz w:val="18"/>
                      <w:szCs w:val="18"/>
                    </w:rPr>
                    <w:t>Source: NBRM, based on data submitted by banks.</w:t>
                  </w: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Pr="008476D5" w:rsidRDefault="00280598" w:rsidP="00795205">
                  <w:pPr>
                    <w:tabs>
                      <w:tab w:val="left" w:pos="90"/>
                    </w:tabs>
                    <w:rPr>
                      <w:sz w:val="20"/>
                      <w:szCs w:val="20"/>
                      <w:lang w:val="mk-MK"/>
                    </w:rPr>
                  </w:pPr>
                  <w:r w:rsidRPr="008476D5">
                    <w:rPr>
                      <w:sz w:val="20"/>
                      <w:szCs w:val="20"/>
                      <w:lang w:val="mk-MK"/>
                    </w:rPr>
                    <w:t>Извор:</w:t>
                  </w:r>
                </w:p>
              </w:txbxContent>
            </v:textbox>
            <w10:wrap type="square" anchorx="margin" anchory="margin"/>
          </v:shape>
        </w:pict>
      </w:r>
    </w:p>
    <w:p w:rsidR="00795205" w:rsidRPr="00392EE2" w:rsidRDefault="00795205" w:rsidP="00795205">
      <w:pPr>
        <w:ind w:firstLine="450"/>
        <w:rPr>
          <w:rFonts w:cs="Tahoma"/>
        </w:rPr>
      </w:pPr>
      <w:r w:rsidRPr="00392EE2">
        <w:rPr>
          <w:rFonts w:cs="Tahoma"/>
        </w:rPr>
        <w:t>The share of banks' total income spent to cover operating costs is the largest, despite its decrease by 2.5 percentage points (due to the more pronounced increase in total income compared to the increase in the operating costs). The share of impairment in the income of banks has also reduced (by 2.2 percentage points). At the expense of that, an increase was registered in the profit margin, i.e. the share of profits in the total income by 4.2 percentage points.</w:t>
      </w:r>
    </w:p>
    <w:p w:rsidR="00795205" w:rsidRPr="00392EE2" w:rsidRDefault="00795205" w:rsidP="00795205">
      <w:pPr>
        <w:ind w:firstLine="709"/>
        <w:rPr>
          <w:rFonts w:cs="Tahoma"/>
        </w:rPr>
      </w:pPr>
    </w:p>
    <w:p w:rsidR="00795205" w:rsidRPr="00392EE2" w:rsidRDefault="00803610" w:rsidP="00795205">
      <w:pPr>
        <w:ind w:firstLine="450"/>
        <w:rPr>
          <w:rFonts w:cs="Tahoma"/>
        </w:rPr>
      </w:pPr>
      <w:r>
        <w:rPr>
          <w:rFonts w:cs="Tahoma"/>
          <w:noProof/>
        </w:rPr>
        <w:pict>
          <v:shape id="_x0000_s1264" type="#_x0000_t202" style="position:absolute;left:0;text-align:left;margin-left:-228pt;margin-top:229.65pt;width:214.7pt;height:350.25pt;z-index:25178419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" stroked="f">
            <v:textbox style="mso-next-textbox:#_x0000_s1264">
              <w:txbxContent>
                <w:p w:rsidR="0082085A" w:rsidRPr="00B6232B" w:rsidRDefault="0082085A" w:rsidP="0082085A">
                  <w:pPr>
                    <w:pStyle w:val="Caption"/>
                    <w:rPr>
                      <w:rFonts w:cs="Tahoma"/>
                      <w:b w:val="0"/>
                      <w:lang w:val="mk-MK"/>
                    </w:rPr>
                  </w:pPr>
                  <w:r>
                    <w:t xml:space="preserve">Chart </w:t>
                  </w:r>
                  <w:fldSimple w:instr=" SEQ Графикон_бр. \* ARABIC ">
                    <w:r w:rsidR="005A019D">
                      <w:rPr>
                        <w:noProof/>
                      </w:rPr>
                      <w:t>110</w:t>
                    </w:r>
                  </w:fldSimple>
                  <w:r w:rsidRPr="00E8302F">
                    <w:rPr>
                      <w:rFonts w:cs="Tahoma"/>
                      <w:lang w:val="mk-MK"/>
                    </w:rPr>
                    <w:t xml:space="preserve"> </w:t>
                  </w:r>
                </w:p>
                <w:p w:rsidR="00280598" w:rsidRPr="0082085A" w:rsidRDefault="00280598" w:rsidP="00795205">
                  <w:pPr>
                    <w:autoSpaceDE w:val="0"/>
                    <w:autoSpaceDN w:val="0"/>
                    <w:adjustRightInd w:val="0"/>
                    <w:rPr>
                      <w:rFonts w:eastAsia="Tahoma,Bold" w:cs="Tahoma"/>
                      <w:b/>
                      <w:bCs/>
                      <w:sz w:val="20"/>
                      <w:szCs w:val="20"/>
                      <w:lang w:eastAsia="mk-MK"/>
                    </w:rPr>
                  </w:pPr>
                  <w:r w:rsidRPr="0082085A">
                    <w:rPr>
                      <w:rFonts w:eastAsia="Tahoma,Bold" w:cs="Tahoma"/>
                      <w:b/>
                      <w:bCs/>
                      <w:sz w:val="20"/>
                      <w:szCs w:val="20"/>
                      <w:lang w:eastAsia="mk-MK"/>
                    </w:rPr>
                    <w:t xml:space="preserve">Relative importance and growth rate of impairment losses and special reserve of financial assets (up) and non-financial assets (down) </w:t>
                  </w:r>
                </w:p>
                <w:p w:rsidR="00280598" w:rsidRPr="006061AF" w:rsidRDefault="00280598" w:rsidP="00795205">
                  <w:pPr>
                    <w:tabs>
                      <w:tab w:val="left" w:pos="90"/>
                    </w:tabs>
                    <w:jc w:val="left"/>
                    <w:rPr>
                      <w:sz w:val="18"/>
                      <w:szCs w:val="18"/>
                    </w:rPr>
                  </w:pPr>
                  <w:r w:rsidRPr="006061AF">
                    <w:rPr>
                      <w:rFonts w:cs="Tahoma"/>
                      <w:color w:val="000000"/>
                      <w:sz w:val="18"/>
                      <w:szCs w:val="18"/>
                      <w:lang w:eastAsia="mk-MK"/>
                    </w:rPr>
                    <w:t xml:space="preserve">in % </w:t>
                  </w:r>
                  <w:r w:rsidRPr="006061AF">
                    <w:rPr>
                      <w:sz w:val="18"/>
                      <w:szCs w:val="18"/>
                    </w:rPr>
                    <w:t xml:space="preserve"> </w:t>
                  </w:r>
                </w:p>
                <w:p w:rsidR="00280598" w:rsidRDefault="00280598" w:rsidP="00795205">
                  <w:pPr>
                    <w:tabs>
                      <w:tab w:val="left" w:pos="90"/>
                    </w:tabs>
                    <w:jc w:val="left"/>
                    <w:rPr>
                      <w:noProof/>
                    </w:rPr>
                  </w:pPr>
                  <w:r w:rsidRPr="00312771">
                    <w:rPr>
                      <w:noProof/>
                    </w:rPr>
                    <w:drawing>
                      <wp:inline distT="0" distB="0" distL="0" distR="0">
                        <wp:extent cx="2543552" cy="3172571"/>
                        <wp:effectExtent l="0" t="0" r="0" b="0"/>
                        <wp:docPr id="9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0" cy="3172893"/>
                                </a:xfrm>
                                <a:prstGeom prst="rect">
                                  <a:avLst/>
                                </a:prstGeom>
                                <a:noFill/>
                                <a:ln>
                                  <a:noFill/>
                                </a:ln>
                              </pic:spPr>
                            </pic:pic>
                          </a:graphicData>
                        </a:graphic>
                      </wp:inline>
                    </w:drawing>
                  </w:r>
                </w:p>
                <w:p w:rsidR="00280598" w:rsidRPr="003A3FDD" w:rsidRDefault="00280598" w:rsidP="00795205">
                  <w:pPr>
                    <w:tabs>
                      <w:tab w:val="left" w:pos="90"/>
                    </w:tabs>
                    <w:rPr>
                      <w:lang w:val="mk-MK"/>
                    </w:rPr>
                  </w:pPr>
                  <w:r>
                    <w:rPr>
                      <w:sz w:val="18"/>
                      <w:szCs w:val="18"/>
                    </w:rPr>
                    <w:t>Source: NBRM, based on data submitted by banks.</w:t>
                  </w:r>
                </w:p>
                <w:p w:rsidR="00280598" w:rsidRPr="003A3FDD" w:rsidRDefault="00280598" w:rsidP="00795205">
                  <w:pPr>
                    <w:tabs>
                      <w:tab w:val="left" w:pos="90"/>
                    </w:tabs>
                    <w:rPr>
                      <w:lang w:val="mk-MK"/>
                    </w:rPr>
                  </w:pPr>
                </w:p>
                <w:p w:rsidR="00280598" w:rsidRDefault="00280598" w:rsidP="00795205">
                  <w:pPr>
                    <w:pStyle w:val="Caption"/>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Pr="008476D5" w:rsidRDefault="00280598" w:rsidP="00795205">
                  <w:pPr>
                    <w:tabs>
                      <w:tab w:val="left" w:pos="90"/>
                    </w:tabs>
                    <w:rPr>
                      <w:sz w:val="20"/>
                      <w:szCs w:val="20"/>
                      <w:lang w:val="mk-MK"/>
                    </w:rPr>
                  </w:pPr>
                  <w:r w:rsidRPr="008476D5">
                    <w:rPr>
                      <w:sz w:val="20"/>
                      <w:szCs w:val="20"/>
                      <w:lang w:val="mk-MK"/>
                    </w:rPr>
                    <w:t>Извор:</w:t>
                  </w:r>
                </w:p>
              </w:txbxContent>
            </v:textbox>
            <w10:wrap type="square" anchorx="margin" anchory="margin"/>
          </v:shape>
        </w:pict>
      </w:r>
      <w:r w:rsidR="00795205" w:rsidRPr="00392EE2">
        <w:rPr>
          <w:rFonts w:cs="Tahoma"/>
        </w:rPr>
        <w:t>The lower amount of total regular income that is spent to cover operating costs is an indicator of the improved operational efficiency of the banking system. All efficiency indicators of banks have improved. Apart from the portion of the total banks' income spent to cover the costs for employees, which are rising, all other indicators of the ratio between the different types of costs and total regular income decrease, which confirms the improved operational efficiency of banks.</w:t>
      </w:r>
    </w:p>
    <w:p w:rsidR="00795205" w:rsidRPr="00392EE2" w:rsidRDefault="00795205" w:rsidP="00795205">
      <w:pPr>
        <w:ind w:firstLine="709"/>
        <w:rPr>
          <w:rFonts w:cs="Tahoma"/>
        </w:rPr>
      </w:pPr>
    </w:p>
    <w:p w:rsidR="00795205" w:rsidRPr="00392EE2" w:rsidRDefault="00795205" w:rsidP="00795205">
      <w:pPr>
        <w:ind w:firstLine="450"/>
        <w:rPr>
          <w:rFonts w:cs="Tahoma"/>
        </w:rPr>
      </w:pPr>
      <w:r w:rsidRPr="00392EE2">
        <w:rPr>
          <w:rFonts w:cs="Tahoma"/>
        </w:rPr>
        <w:t>In 2013, the uptrend in the net impairment of financial assets was terminated. Being in the amount of Denar 3,828 million, the net impairment which banks recognize for the financial assets was lower by Denar 711.4 million, or 15.7%</w:t>
      </w:r>
      <w:r w:rsidRPr="00392EE2">
        <w:rPr>
          <w:rStyle w:val="FootnoteReference"/>
          <w:rFonts w:eastAsia="Tahoma,Bold" w:cs="Tahoma"/>
          <w:lang w:eastAsia="mk-MK"/>
        </w:rPr>
        <w:footnoteReference w:id="98"/>
      </w:r>
      <w:r w:rsidRPr="00392EE2">
        <w:rPr>
          <w:rFonts w:cs="Tahoma"/>
        </w:rPr>
        <w:t>. Hence, in 2013, a reduction was registered in the share of the net interest income which is spent to cover the impairment of financial assets, and in the ratio of the impairment of financial assets and gross loans to non-financial entities.</w:t>
      </w:r>
    </w:p>
    <w:p w:rsidR="00795205" w:rsidRPr="00392EE2" w:rsidRDefault="00795205" w:rsidP="00795205">
      <w:pPr>
        <w:ind w:firstLine="709"/>
        <w:rPr>
          <w:rFonts w:cs="Tahoma"/>
        </w:rPr>
      </w:pPr>
    </w:p>
    <w:p w:rsidR="00795205" w:rsidRPr="00392EE2" w:rsidRDefault="00795205" w:rsidP="00795205">
      <w:pPr>
        <w:ind w:firstLine="450"/>
        <w:rPr>
          <w:rFonts w:cs="Tahoma"/>
        </w:rPr>
      </w:pPr>
      <w:r w:rsidRPr="00392EE2">
        <w:rPr>
          <w:rFonts w:cs="Tahoma"/>
        </w:rPr>
        <w:t xml:space="preserve">The main driver of the decrease in the impairment of financial assets is the significant amount of released impairment generated in the fourth quarter of 2013. The released impairment of financial assets of the banking system </w:t>
      </w:r>
      <w:r w:rsidRPr="00392EE2">
        <w:rPr>
          <w:rFonts w:cs="Tahoma"/>
        </w:rPr>
        <w:lastRenderedPageBreak/>
        <w:t>registered an annual increase of Denar 2,585 million, or 42.4%, which is almost entirely (83.8%) due to one bank in the country (mainly due to the closure of non-performing claims). But, as the same bank also stands behind the increase in the impairment of financial assets of the banking system (by Denar 1,873 million, or 17.6%, compared with the previous year), the net effect of that bank on the reduced net impairment of financial assets of the banking system is only partial. Several other banks in the country also contribute to the reduction of the impairment of financial assets.</w:t>
      </w:r>
    </w:p>
    <w:p w:rsidR="00795205" w:rsidRPr="00392EE2" w:rsidRDefault="00803610" w:rsidP="00795205">
      <w:pPr>
        <w:ind w:firstLine="709"/>
        <w:rPr>
          <w:rFonts w:cs="Tahoma"/>
        </w:rPr>
      </w:pPr>
      <w:r>
        <w:rPr>
          <w:rFonts w:cs="Tahoma"/>
          <w:noProof/>
        </w:rPr>
        <w:pict>
          <v:shape id="_x0000_s1263" type="#_x0000_t202" style="position:absolute;left:0;text-align:left;margin-left:-226.5pt;margin-top:-2.85pt;width:214.7pt;height:221.75pt;z-index:2517831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" stroked="f">
            <v:textbox style="mso-next-textbox:#_x0000_s1263">
              <w:txbxContent>
                <w:p w:rsidR="0082085A" w:rsidRPr="00B6232B" w:rsidRDefault="0082085A" w:rsidP="0082085A">
                  <w:pPr>
                    <w:pStyle w:val="Caption"/>
                    <w:rPr>
                      <w:rFonts w:cs="Tahoma"/>
                      <w:b w:val="0"/>
                      <w:lang w:val="mk-MK"/>
                    </w:rPr>
                  </w:pPr>
                  <w:r>
                    <w:t xml:space="preserve">Chart </w:t>
                  </w:r>
                  <w:fldSimple w:instr=" SEQ Графикон_бр. \* ARABIC ">
                    <w:r w:rsidR="005A019D">
                      <w:rPr>
                        <w:noProof/>
                      </w:rPr>
                      <w:t>111</w:t>
                    </w:r>
                  </w:fldSimple>
                  <w:r w:rsidRPr="00E8302F">
                    <w:rPr>
                      <w:rFonts w:cs="Tahoma"/>
                      <w:lang w:val="mk-MK"/>
                    </w:rPr>
                    <w:t xml:space="preserve"> </w:t>
                  </w:r>
                </w:p>
                <w:p w:rsidR="00280598" w:rsidRPr="0082085A" w:rsidRDefault="00280598" w:rsidP="00795205">
                  <w:pPr>
                    <w:tabs>
                      <w:tab w:val="left" w:pos="90"/>
                    </w:tabs>
                    <w:jc w:val="left"/>
                    <w:rPr>
                      <w:rFonts w:cs="Tahoma"/>
                      <w:b/>
                      <w:bCs/>
                      <w:sz w:val="20"/>
                      <w:szCs w:val="20"/>
                    </w:rPr>
                  </w:pPr>
                  <w:r w:rsidRPr="0082085A">
                    <w:rPr>
                      <w:rFonts w:cs="Tahoma"/>
                      <w:b/>
                      <w:bCs/>
                      <w:sz w:val="20"/>
                      <w:szCs w:val="20"/>
                    </w:rPr>
                    <w:t>Impairment losses of financial and non-financial assets</w:t>
                  </w:r>
                </w:p>
                <w:p w:rsidR="00280598" w:rsidRPr="00EB1CD2" w:rsidRDefault="00280598" w:rsidP="00795205">
                  <w:pPr>
                    <w:tabs>
                      <w:tab w:val="left" w:pos="90"/>
                    </w:tabs>
                    <w:jc w:val="left"/>
                    <w:rPr>
                      <w:sz w:val="18"/>
                      <w:szCs w:val="18"/>
                    </w:rPr>
                  </w:pPr>
                  <w:r w:rsidRPr="00EB1CD2">
                    <w:rPr>
                      <w:rFonts w:cs="Tahoma"/>
                      <w:color w:val="000000"/>
                      <w:sz w:val="18"/>
                      <w:szCs w:val="18"/>
                      <w:lang w:eastAsia="mk-MK"/>
                    </w:rPr>
                    <w:t xml:space="preserve">in millions of denars </w:t>
                  </w:r>
                  <w:r w:rsidRPr="00EB1CD2">
                    <w:rPr>
                      <w:sz w:val="18"/>
                      <w:szCs w:val="18"/>
                    </w:rPr>
                    <w:t xml:space="preserve"> </w:t>
                  </w:r>
                </w:p>
                <w:p w:rsidR="00280598" w:rsidRDefault="00280598" w:rsidP="00795205">
                  <w:pPr>
                    <w:tabs>
                      <w:tab w:val="left" w:pos="90"/>
                    </w:tabs>
                    <w:jc w:val="left"/>
                    <w:rPr>
                      <w:noProof/>
                    </w:rPr>
                  </w:pPr>
                  <w:r w:rsidRPr="00EB1CD2">
                    <w:rPr>
                      <w:noProof/>
                    </w:rPr>
                    <w:drawing>
                      <wp:inline distT="0" distB="0" distL="0" distR="0">
                        <wp:extent cx="2544633" cy="1854679"/>
                        <wp:effectExtent l="0" t="0" r="0" b="0"/>
                        <wp:docPr id="9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0" cy="1854079"/>
                                </a:xfrm>
                                <a:prstGeom prst="rect">
                                  <a:avLst/>
                                </a:prstGeom>
                                <a:noFill/>
                                <a:ln>
                                  <a:noFill/>
                                </a:ln>
                              </pic:spPr>
                            </pic:pic>
                          </a:graphicData>
                        </a:graphic>
                      </wp:inline>
                    </w:drawing>
                  </w:r>
                </w:p>
                <w:p w:rsidR="00280598" w:rsidRPr="003A3FDD" w:rsidRDefault="00280598" w:rsidP="00795205">
                  <w:pPr>
                    <w:tabs>
                      <w:tab w:val="left" w:pos="90"/>
                    </w:tabs>
                    <w:rPr>
                      <w:lang w:val="mk-MK"/>
                    </w:rPr>
                  </w:pPr>
                  <w:r>
                    <w:rPr>
                      <w:sz w:val="18"/>
                      <w:szCs w:val="18"/>
                    </w:rPr>
                    <w:t>Source: NBRM, based on data submitted by banks.</w:t>
                  </w:r>
                </w:p>
                <w:p w:rsidR="00280598" w:rsidRPr="003A3FDD" w:rsidRDefault="00280598" w:rsidP="00795205">
                  <w:pPr>
                    <w:tabs>
                      <w:tab w:val="left" w:pos="90"/>
                    </w:tabs>
                    <w:rPr>
                      <w:lang w:val="mk-MK"/>
                    </w:rPr>
                  </w:pPr>
                </w:p>
                <w:p w:rsidR="00280598" w:rsidRDefault="00280598" w:rsidP="00795205">
                  <w:pPr>
                    <w:pStyle w:val="Caption"/>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Pr="008476D5" w:rsidRDefault="00280598" w:rsidP="00795205">
                  <w:pPr>
                    <w:tabs>
                      <w:tab w:val="left" w:pos="90"/>
                    </w:tabs>
                    <w:rPr>
                      <w:sz w:val="20"/>
                      <w:szCs w:val="20"/>
                      <w:lang w:val="mk-MK"/>
                    </w:rPr>
                  </w:pPr>
                  <w:r w:rsidRPr="008476D5">
                    <w:rPr>
                      <w:sz w:val="20"/>
                      <w:szCs w:val="20"/>
                      <w:lang w:val="mk-MK"/>
                    </w:rPr>
                    <w:t>Извор:</w:t>
                  </w:r>
                </w:p>
              </w:txbxContent>
            </v:textbox>
            <w10:wrap type="square" anchorx="margin" anchory="margin"/>
          </v:shape>
        </w:pict>
      </w:r>
    </w:p>
    <w:p w:rsidR="00795205" w:rsidRPr="00392EE2" w:rsidRDefault="00803610" w:rsidP="00795205">
      <w:pPr>
        <w:ind w:firstLine="450"/>
        <w:rPr>
          <w:rFonts w:cs="Tahoma"/>
        </w:rPr>
      </w:pPr>
      <w:r>
        <w:rPr>
          <w:rFonts w:cs="Tahoma"/>
          <w:noProof/>
        </w:rPr>
        <w:pict>
          <v:shape id="_x0000_s1267" type="#_x0000_t202" style="position:absolute;left:0;text-align:left;margin-left:-226.05pt;margin-top:228.15pt;width:214.7pt;height:237.55pt;z-index:25178726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" stroked="f">
            <v:textbox style="mso-next-textbox:#_x0000_s1267">
              <w:txbxContent>
                <w:p w:rsidR="0082085A" w:rsidRPr="00B6232B" w:rsidRDefault="0082085A" w:rsidP="0082085A">
                  <w:pPr>
                    <w:pStyle w:val="Caption"/>
                    <w:rPr>
                      <w:rFonts w:cs="Tahoma"/>
                      <w:b w:val="0"/>
                      <w:lang w:val="mk-MK"/>
                    </w:rPr>
                  </w:pPr>
                  <w:r>
                    <w:t xml:space="preserve">Chart </w:t>
                  </w:r>
                  <w:fldSimple w:instr=" SEQ Графикон_бр. \* ARABIC ">
                    <w:r w:rsidR="005A019D">
                      <w:rPr>
                        <w:noProof/>
                      </w:rPr>
                      <w:t>112</w:t>
                    </w:r>
                  </w:fldSimple>
                  <w:r w:rsidRPr="00E8302F">
                    <w:rPr>
                      <w:rFonts w:cs="Tahoma"/>
                      <w:lang w:val="mk-MK"/>
                    </w:rPr>
                    <w:t xml:space="preserve"> </w:t>
                  </w:r>
                </w:p>
                <w:p w:rsidR="00280598" w:rsidRPr="0082085A" w:rsidRDefault="00280598" w:rsidP="00795205">
                  <w:pPr>
                    <w:tabs>
                      <w:tab w:val="left" w:pos="90"/>
                    </w:tabs>
                    <w:jc w:val="left"/>
                    <w:rPr>
                      <w:rFonts w:cs="Tahoma"/>
                      <w:b/>
                      <w:bCs/>
                      <w:sz w:val="20"/>
                      <w:szCs w:val="20"/>
                    </w:rPr>
                  </w:pPr>
                  <w:r w:rsidRPr="0082085A">
                    <w:rPr>
                      <w:rFonts w:cs="Tahoma"/>
                      <w:b/>
                      <w:bCs/>
                      <w:sz w:val="20"/>
                      <w:szCs w:val="20"/>
                    </w:rPr>
                    <w:t xml:space="preserve">Effect of impairment losses of financial assets on profit </w:t>
                  </w:r>
                </w:p>
                <w:p w:rsidR="00280598" w:rsidRPr="00EB1CD2" w:rsidRDefault="00280598" w:rsidP="00795205">
                  <w:pPr>
                    <w:tabs>
                      <w:tab w:val="left" w:pos="90"/>
                    </w:tabs>
                    <w:jc w:val="left"/>
                    <w:rPr>
                      <w:sz w:val="18"/>
                      <w:szCs w:val="18"/>
                    </w:rPr>
                  </w:pPr>
                  <w:r w:rsidRPr="00EB1CD2">
                    <w:rPr>
                      <w:rFonts w:cs="Tahoma"/>
                      <w:color w:val="000000"/>
                      <w:sz w:val="18"/>
                      <w:szCs w:val="18"/>
                      <w:lang w:eastAsia="mk-MK"/>
                    </w:rPr>
                    <w:t xml:space="preserve">in millions of denars </w:t>
                  </w:r>
                  <w:r w:rsidRPr="00EB1CD2">
                    <w:rPr>
                      <w:sz w:val="18"/>
                      <w:szCs w:val="18"/>
                    </w:rPr>
                    <w:t xml:space="preserve"> </w:t>
                  </w:r>
                </w:p>
                <w:p w:rsidR="00280598" w:rsidRDefault="00280598" w:rsidP="00795205">
                  <w:pPr>
                    <w:tabs>
                      <w:tab w:val="left" w:pos="90"/>
                    </w:tabs>
                    <w:jc w:val="left"/>
                    <w:rPr>
                      <w:noProof/>
                    </w:rPr>
                  </w:pPr>
                  <w:r w:rsidRPr="00B703D8">
                    <w:rPr>
                      <w:noProof/>
                    </w:rPr>
                    <w:drawing>
                      <wp:inline distT="0" distB="0" distL="0" distR="0">
                        <wp:extent cx="2543810" cy="2034059"/>
                        <wp:effectExtent l="0" t="0" r="0" b="0"/>
                        <wp:docPr id="10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0" cy="2034059"/>
                                </a:xfrm>
                                <a:prstGeom prst="rect">
                                  <a:avLst/>
                                </a:prstGeom>
                                <a:noFill/>
                                <a:ln>
                                  <a:noFill/>
                                </a:ln>
                              </pic:spPr>
                            </pic:pic>
                          </a:graphicData>
                        </a:graphic>
                      </wp:inline>
                    </w:drawing>
                  </w:r>
                </w:p>
                <w:p w:rsidR="00280598" w:rsidRPr="003A3FDD" w:rsidRDefault="00280598" w:rsidP="00795205">
                  <w:pPr>
                    <w:tabs>
                      <w:tab w:val="left" w:pos="90"/>
                    </w:tabs>
                    <w:rPr>
                      <w:lang w:val="mk-MK"/>
                    </w:rPr>
                  </w:pPr>
                  <w:r>
                    <w:rPr>
                      <w:sz w:val="18"/>
                      <w:szCs w:val="18"/>
                    </w:rPr>
                    <w:t>Source: NBRM, based on data submitted by banks.</w:t>
                  </w:r>
                </w:p>
                <w:p w:rsidR="00280598" w:rsidRPr="003A3FDD" w:rsidRDefault="00280598" w:rsidP="00795205">
                  <w:pPr>
                    <w:tabs>
                      <w:tab w:val="left" w:pos="90"/>
                    </w:tabs>
                    <w:rPr>
                      <w:lang w:val="mk-MK"/>
                    </w:rPr>
                  </w:pPr>
                </w:p>
                <w:p w:rsidR="00280598" w:rsidRDefault="00280598" w:rsidP="00795205">
                  <w:pPr>
                    <w:pStyle w:val="Caption"/>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Pr="008476D5" w:rsidRDefault="00280598" w:rsidP="00795205">
                  <w:pPr>
                    <w:tabs>
                      <w:tab w:val="left" w:pos="90"/>
                    </w:tabs>
                    <w:rPr>
                      <w:sz w:val="20"/>
                      <w:szCs w:val="20"/>
                      <w:lang w:val="mk-MK"/>
                    </w:rPr>
                  </w:pPr>
                  <w:r w:rsidRPr="008476D5">
                    <w:rPr>
                      <w:sz w:val="20"/>
                      <w:szCs w:val="20"/>
                      <w:lang w:val="mk-MK"/>
                    </w:rPr>
                    <w:t>Извор:</w:t>
                  </w:r>
                </w:p>
              </w:txbxContent>
            </v:textbox>
            <w10:wrap type="square" anchorx="margin" anchory="margin"/>
          </v:shape>
        </w:pict>
      </w:r>
      <w:r w:rsidR="00795205" w:rsidRPr="00392EE2">
        <w:rPr>
          <w:rFonts w:cs="Tahoma"/>
        </w:rPr>
        <w:t>Impairment of non-financial assets (foreclosed property) continues to grow and at the end of 2013 it was twice higher (Denar 980.2 million) than the level achieved at the end of 2012 (Denar 463.5 million). This growth was also a result of the novelties in the regulation on the regulatory and accounting treatment of foreclosures.</w:t>
      </w:r>
    </w:p>
    <w:p w:rsidR="0082085A" w:rsidRPr="00392EE2" w:rsidRDefault="0082085A" w:rsidP="0082085A">
      <w:pPr>
        <w:ind w:firstLine="709"/>
        <w:rPr>
          <w:rFonts w:cs="Tahoma"/>
        </w:rPr>
      </w:pPr>
    </w:p>
    <w:p w:rsidR="00795205" w:rsidRPr="00392EE2" w:rsidRDefault="00795205" w:rsidP="00795205">
      <w:pPr>
        <w:ind w:firstLine="450"/>
        <w:rPr>
          <w:rFonts w:cs="Tahoma"/>
        </w:rPr>
      </w:pPr>
      <w:r w:rsidRPr="00392EE2">
        <w:rPr>
          <w:rFonts w:cs="Tahoma"/>
        </w:rPr>
        <w:t>Accelerated growth of profits in 2013 caused an improvement in the basic profitability indicators of the banking system, with the rates of return on assets and return on equity being increased by 0.2 and 1.9 percentage points, respectively.</w:t>
      </w:r>
    </w:p>
    <w:p w:rsidR="0082085A" w:rsidRDefault="0082085A" w:rsidP="00795205">
      <w:pPr>
        <w:ind w:firstLine="709"/>
        <w:rPr>
          <w:rFonts w:cs="Tahoma"/>
        </w:rPr>
      </w:pPr>
    </w:p>
    <w:p w:rsidR="0082085A" w:rsidRDefault="0082085A" w:rsidP="00795205">
      <w:pPr>
        <w:ind w:firstLine="709"/>
        <w:rPr>
          <w:rFonts w:cs="Tahoma"/>
        </w:rPr>
      </w:pPr>
    </w:p>
    <w:p w:rsidR="0082085A" w:rsidRDefault="0082085A" w:rsidP="00795205">
      <w:pPr>
        <w:ind w:firstLine="709"/>
        <w:rPr>
          <w:rFonts w:cs="Tahoma"/>
        </w:rPr>
      </w:pPr>
    </w:p>
    <w:p w:rsidR="0082085A" w:rsidRDefault="0082085A" w:rsidP="00795205">
      <w:pPr>
        <w:ind w:firstLine="709"/>
        <w:rPr>
          <w:rFonts w:cs="Tahoma"/>
        </w:rPr>
      </w:pPr>
    </w:p>
    <w:p w:rsidR="0082085A" w:rsidRDefault="0082085A" w:rsidP="00795205">
      <w:pPr>
        <w:ind w:firstLine="709"/>
        <w:rPr>
          <w:rFonts w:cs="Tahoma"/>
        </w:rPr>
      </w:pPr>
    </w:p>
    <w:p w:rsidR="00795205" w:rsidRPr="00392EE2" w:rsidRDefault="00803610" w:rsidP="00795205">
      <w:pPr>
        <w:ind w:firstLine="709"/>
        <w:rPr>
          <w:rFonts w:cs="Tahoma"/>
        </w:rPr>
      </w:pPr>
      <w:r>
        <w:rPr>
          <w:rFonts w:cs="Tahoma"/>
          <w:noProof/>
        </w:rPr>
        <w:pict>
          <v:shape id="_x0000_s1273" type="#_x0000_t202" style="position:absolute;left:0;text-align:left;margin-left:-220.5pt;margin-top:18.3pt;width:458.25pt;height:182.9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" stroked="f">
            <v:textbox style="mso-next-textbox:#_x0000_s1273">
              <w:txbxContent>
                <w:p w:rsidR="00280598" w:rsidRPr="00FF4C4F" w:rsidRDefault="00280598" w:rsidP="00795205">
                  <w:pPr>
                    <w:pStyle w:val="Caption"/>
                    <w:rPr>
                      <w:rFonts w:cs="Tahoma"/>
                      <w:lang w:val="mk-MK"/>
                    </w:rPr>
                  </w:pPr>
                  <w:r w:rsidRPr="00FF4C4F">
                    <w:rPr>
                      <w:rFonts w:cs="Tahoma"/>
                    </w:rPr>
                    <w:t xml:space="preserve">Table </w:t>
                  </w:r>
                  <w:r w:rsidR="00803610" w:rsidRPr="00FF4C4F">
                    <w:rPr>
                      <w:rFonts w:cs="Tahoma"/>
                    </w:rPr>
                    <w:fldChar w:fldCharType="begin"/>
                  </w:r>
                  <w:r w:rsidRPr="00FF4C4F">
                    <w:rPr>
                      <w:rFonts w:cs="Tahoma"/>
                    </w:rPr>
                    <w:instrText xml:space="preserve"> SEQ Табела_бр. \* ARABIC </w:instrText>
                  </w:r>
                  <w:r w:rsidR="00803610" w:rsidRPr="00FF4C4F">
                    <w:rPr>
                      <w:rFonts w:cs="Tahoma"/>
                    </w:rPr>
                    <w:fldChar w:fldCharType="separate"/>
                  </w:r>
                  <w:r w:rsidR="005A019D">
                    <w:rPr>
                      <w:rFonts w:cs="Tahoma"/>
                      <w:noProof/>
                    </w:rPr>
                    <w:t>7</w:t>
                  </w:r>
                  <w:r w:rsidR="00803610" w:rsidRPr="00FF4C4F">
                    <w:rPr>
                      <w:rFonts w:cs="Tahoma"/>
                    </w:rPr>
                    <w:fldChar w:fldCharType="end"/>
                  </w:r>
                </w:p>
                <w:p w:rsidR="00280598" w:rsidRPr="00FF4C4F" w:rsidRDefault="00280598" w:rsidP="00795205">
                  <w:pPr>
                    <w:pStyle w:val="Caption"/>
                    <w:jc w:val="left"/>
                    <w:rPr>
                      <w:bCs/>
                    </w:rPr>
                  </w:pPr>
                  <w:r w:rsidRPr="00FF4C4F">
                    <w:rPr>
                      <w:bCs/>
                    </w:rPr>
                    <w:t xml:space="preserve">Profitability and efficiency ratios of the banking system </w:t>
                  </w:r>
                </w:p>
                <w:p w:rsidR="00280598" w:rsidRPr="0095363A" w:rsidRDefault="00280598" w:rsidP="00795205">
                  <w:pPr>
                    <w:pStyle w:val="Caption"/>
                    <w:jc w:val="left"/>
                    <w:rPr>
                      <w:b w:val="0"/>
                    </w:rPr>
                  </w:pPr>
                  <w:r w:rsidRPr="0095363A">
                    <w:rPr>
                      <w:b w:val="0"/>
                      <w:sz w:val="18"/>
                      <w:szCs w:val="18"/>
                    </w:rPr>
                    <w:t>in %</w:t>
                  </w:r>
                  <w:r w:rsidRPr="0095363A">
                    <w:rPr>
                      <w:b w:val="0"/>
                      <w:lang w:val="mk-MK"/>
                    </w:rPr>
                    <w:t xml:space="preserve"> </w:t>
                  </w:r>
                </w:p>
                <w:p w:rsidR="00280598" w:rsidRPr="00FF4C4F" w:rsidRDefault="00280598" w:rsidP="00795205">
                  <w:r w:rsidRPr="00FF4C4F">
                    <w:rPr>
                      <w:noProof/>
                    </w:rPr>
                    <w:drawing>
                      <wp:inline distT="0" distB="0" distL="0" distR="0">
                        <wp:extent cx="5637472" cy="1614115"/>
                        <wp:effectExtent l="0" t="0" r="0" b="0"/>
                        <wp:docPr id="101"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6895" cy="1613950"/>
                                </a:xfrm>
                                <a:prstGeom prst="rect">
                                  <a:avLst/>
                                </a:prstGeom>
                                <a:noFill/>
                                <a:ln>
                                  <a:noFill/>
                                </a:ln>
                              </pic:spPr>
                            </pic:pic>
                          </a:graphicData>
                        </a:graphic>
                      </wp:inline>
                    </w:drawing>
                  </w:r>
                </w:p>
                <w:p w:rsidR="00280598" w:rsidRPr="003A3FDD" w:rsidRDefault="00280598" w:rsidP="00795205">
                  <w:pPr>
                    <w:tabs>
                      <w:tab w:val="left" w:pos="90"/>
                    </w:tabs>
                    <w:rPr>
                      <w:lang w:val="mk-MK"/>
                    </w:rPr>
                  </w:pPr>
                  <w:r>
                    <w:rPr>
                      <w:sz w:val="18"/>
                      <w:szCs w:val="18"/>
                    </w:rPr>
                    <w:t>Source: NBRM, based on data submitted by banks.</w:t>
                  </w:r>
                </w:p>
                <w:p w:rsidR="00280598" w:rsidRPr="0086762E" w:rsidRDefault="00280598" w:rsidP="00795205">
                  <w:pPr>
                    <w:rPr>
                      <w:sz w:val="18"/>
                      <w:szCs w:val="18"/>
                      <w:lang w:val="mk-MK"/>
                    </w:rPr>
                  </w:pPr>
                </w:p>
              </w:txbxContent>
            </v:textbox>
            <w10:wrap type="square"/>
          </v:shape>
        </w:pict>
      </w:r>
    </w:p>
    <w:p w:rsidR="00795205" w:rsidRPr="00392EE2" w:rsidRDefault="00803610" w:rsidP="00795205">
      <w:pPr>
        <w:ind w:firstLine="450"/>
        <w:rPr>
          <w:rFonts w:cs="Tahoma"/>
        </w:rPr>
      </w:pPr>
      <w:r>
        <w:rPr>
          <w:rFonts w:cs="Tahoma"/>
          <w:noProof/>
        </w:rPr>
        <w:lastRenderedPageBreak/>
        <w:pict>
          <v:shape id="_x0000_s1268" type="#_x0000_t202" style="position:absolute;left:0;text-align:left;margin-left:-229.5pt;margin-top:-8.1pt;width:214.7pt;height:195.75pt;z-index:25178828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" stroked="f">
            <v:textbox style="mso-next-textbox:#_x0000_s1268">
              <w:txbxContent>
                <w:p w:rsidR="0095363A" w:rsidRPr="00B6232B" w:rsidRDefault="0095363A" w:rsidP="0095363A">
                  <w:pPr>
                    <w:pStyle w:val="Caption"/>
                    <w:rPr>
                      <w:rFonts w:cs="Tahoma"/>
                      <w:b w:val="0"/>
                      <w:lang w:val="mk-MK"/>
                    </w:rPr>
                  </w:pPr>
                  <w:r>
                    <w:t xml:space="preserve">Chart </w:t>
                  </w:r>
                  <w:fldSimple w:instr=" SEQ Графикон_бр. \* ARABIC ">
                    <w:r>
                      <w:rPr>
                        <w:noProof/>
                      </w:rPr>
                      <w:t>113</w:t>
                    </w:r>
                  </w:fldSimple>
                  <w:r w:rsidRPr="00E8302F">
                    <w:rPr>
                      <w:rFonts w:cs="Tahoma"/>
                      <w:lang w:val="mk-MK"/>
                    </w:rPr>
                    <w:t xml:space="preserve"> </w:t>
                  </w:r>
                </w:p>
                <w:p w:rsidR="00280598" w:rsidRPr="0095363A" w:rsidRDefault="00280598" w:rsidP="00795205">
                  <w:pPr>
                    <w:tabs>
                      <w:tab w:val="left" w:pos="90"/>
                    </w:tabs>
                    <w:jc w:val="left"/>
                    <w:rPr>
                      <w:rFonts w:eastAsia="Tahoma,Bold" w:cs="Tahoma"/>
                      <w:b/>
                      <w:bCs/>
                      <w:sz w:val="20"/>
                      <w:szCs w:val="20"/>
                      <w:lang w:eastAsia="mk-MK"/>
                    </w:rPr>
                  </w:pPr>
                  <w:r w:rsidRPr="0095363A">
                    <w:rPr>
                      <w:rFonts w:eastAsia="Tahoma,Bold" w:cs="Tahoma"/>
                      <w:b/>
                      <w:bCs/>
                      <w:sz w:val="20"/>
                      <w:szCs w:val="20"/>
                      <w:lang w:eastAsia="mk-MK"/>
                    </w:rPr>
                    <w:t xml:space="preserve">Net interest margin </w:t>
                  </w:r>
                </w:p>
                <w:p w:rsidR="00280598" w:rsidRDefault="00280598" w:rsidP="00795205">
                  <w:pPr>
                    <w:tabs>
                      <w:tab w:val="left" w:pos="90"/>
                    </w:tabs>
                    <w:jc w:val="left"/>
                    <w:rPr>
                      <w:sz w:val="18"/>
                      <w:szCs w:val="18"/>
                    </w:rPr>
                  </w:pPr>
                  <w:r>
                    <w:rPr>
                      <w:rFonts w:cs="Tahoma"/>
                      <w:color w:val="000000"/>
                      <w:sz w:val="18"/>
                      <w:szCs w:val="18"/>
                      <w:lang w:eastAsia="mk-MK"/>
                    </w:rPr>
                    <w:t>in %</w:t>
                  </w:r>
                  <w:r w:rsidRPr="00EB1CD2">
                    <w:rPr>
                      <w:rFonts w:cs="Tahoma"/>
                      <w:color w:val="000000"/>
                      <w:sz w:val="18"/>
                      <w:szCs w:val="18"/>
                      <w:lang w:eastAsia="mk-MK"/>
                    </w:rPr>
                    <w:t xml:space="preserve"> </w:t>
                  </w:r>
                  <w:r w:rsidRPr="00EB1CD2">
                    <w:rPr>
                      <w:sz w:val="18"/>
                      <w:szCs w:val="18"/>
                    </w:rPr>
                    <w:t xml:space="preserve"> </w:t>
                  </w:r>
                </w:p>
                <w:p w:rsidR="00280598" w:rsidRPr="00EB1CD2" w:rsidRDefault="00280598" w:rsidP="00795205">
                  <w:pPr>
                    <w:tabs>
                      <w:tab w:val="left" w:pos="90"/>
                    </w:tabs>
                    <w:jc w:val="left"/>
                    <w:rPr>
                      <w:sz w:val="18"/>
                      <w:szCs w:val="18"/>
                    </w:rPr>
                  </w:pPr>
                  <w:r w:rsidRPr="00B703D8">
                    <w:rPr>
                      <w:noProof/>
                    </w:rPr>
                    <w:drawing>
                      <wp:inline distT="0" distB="0" distL="0" distR="0">
                        <wp:extent cx="2544417" cy="1677726"/>
                        <wp:effectExtent l="0" t="0" r="0" b="0"/>
                        <wp:docPr id="10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0" cy="1677326"/>
                                </a:xfrm>
                                <a:prstGeom prst="rect">
                                  <a:avLst/>
                                </a:prstGeom>
                                <a:noFill/>
                                <a:ln>
                                  <a:noFill/>
                                </a:ln>
                              </pic:spPr>
                            </pic:pic>
                          </a:graphicData>
                        </a:graphic>
                      </wp:inline>
                    </w:drawing>
                  </w:r>
                </w:p>
                <w:p w:rsidR="00280598" w:rsidRPr="003A3FDD" w:rsidRDefault="00280598" w:rsidP="00795205">
                  <w:pPr>
                    <w:tabs>
                      <w:tab w:val="left" w:pos="90"/>
                    </w:tabs>
                    <w:rPr>
                      <w:lang w:val="mk-MK"/>
                    </w:rPr>
                  </w:pPr>
                  <w:r>
                    <w:rPr>
                      <w:sz w:val="18"/>
                      <w:szCs w:val="18"/>
                    </w:rPr>
                    <w:t>Source: NBRM, based on data submitted by banks.</w:t>
                  </w:r>
                </w:p>
                <w:p w:rsidR="00280598" w:rsidRPr="003A3FDD" w:rsidRDefault="00280598" w:rsidP="00795205">
                  <w:pPr>
                    <w:tabs>
                      <w:tab w:val="left" w:pos="90"/>
                    </w:tabs>
                    <w:rPr>
                      <w:lang w:val="mk-MK"/>
                    </w:rPr>
                  </w:pPr>
                </w:p>
                <w:p w:rsidR="00280598" w:rsidRDefault="00280598" w:rsidP="00795205">
                  <w:pPr>
                    <w:pStyle w:val="Caption"/>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Pr="008476D5" w:rsidRDefault="00280598" w:rsidP="00795205">
                  <w:pPr>
                    <w:tabs>
                      <w:tab w:val="left" w:pos="90"/>
                    </w:tabs>
                    <w:rPr>
                      <w:sz w:val="20"/>
                      <w:szCs w:val="20"/>
                      <w:lang w:val="mk-MK"/>
                    </w:rPr>
                  </w:pPr>
                  <w:r w:rsidRPr="008476D5">
                    <w:rPr>
                      <w:sz w:val="20"/>
                      <w:szCs w:val="20"/>
                      <w:lang w:val="mk-MK"/>
                    </w:rPr>
                    <w:t>Извор:</w:t>
                  </w:r>
                </w:p>
              </w:txbxContent>
            </v:textbox>
            <w10:wrap type="square" anchorx="margin" anchory="margin"/>
          </v:shape>
        </w:pict>
      </w:r>
      <w:r w:rsidR="00795205" w:rsidRPr="00392EE2">
        <w:rPr>
          <w:rFonts w:cs="Tahoma"/>
        </w:rPr>
        <w:t>In 2013, productivity in the banking system also improved, indicating better utilization of resources. Profit per employee has doubled, and an increase was registered also in the total income per employee (4.0%). The only operating costs per employee remained unchanged compared to the previous year.</w:t>
      </w:r>
    </w:p>
    <w:p w:rsidR="0095363A" w:rsidRDefault="0095363A" w:rsidP="00795205">
      <w:pPr>
        <w:ind w:firstLine="709"/>
        <w:rPr>
          <w:rFonts w:cs="Tahoma"/>
        </w:rPr>
      </w:pPr>
    </w:p>
    <w:p w:rsidR="0095363A" w:rsidRDefault="0095363A" w:rsidP="00795205">
      <w:pPr>
        <w:ind w:firstLine="709"/>
        <w:rPr>
          <w:rFonts w:cs="Tahoma"/>
        </w:rPr>
      </w:pPr>
    </w:p>
    <w:p w:rsidR="0095363A" w:rsidRDefault="0095363A" w:rsidP="00795205">
      <w:pPr>
        <w:ind w:firstLine="709"/>
        <w:rPr>
          <w:rFonts w:cs="Tahoma"/>
        </w:rPr>
      </w:pPr>
    </w:p>
    <w:p w:rsidR="0095363A" w:rsidRDefault="0095363A" w:rsidP="00795205">
      <w:pPr>
        <w:ind w:firstLine="709"/>
        <w:rPr>
          <w:rFonts w:cs="Tahoma"/>
        </w:rPr>
      </w:pPr>
    </w:p>
    <w:p w:rsidR="0095363A" w:rsidRDefault="0095363A" w:rsidP="00795205">
      <w:pPr>
        <w:ind w:firstLine="709"/>
        <w:rPr>
          <w:rFonts w:cs="Tahoma"/>
        </w:rPr>
      </w:pPr>
    </w:p>
    <w:p w:rsidR="0095363A" w:rsidRDefault="0095363A" w:rsidP="00795205">
      <w:pPr>
        <w:ind w:firstLine="709"/>
        <w:rPr>
          <w:rFonts w:cs="Tahoma"/>
        </w:rPr>
      </w:pPr>
    </w:p>
    <w:p w:rsidR="005A019D" w:rsidRDefault="005A019D" w:rsidP="00795205">
      <w:pPr>
        <w:ind w:firstLine="709"/>
        <w:rPr>
          <w:rFonts w:cs="Tahoma"/>
        </w:rPr>
      </w:pPr>
    </w:p>
    <w:p w:rsidR="00795205" w:rsidRPr="00392EE2" w:rsidRDefault="00795205" w:rsidP="0095363A">
      <w:pPr>
        <w:rPr>
          <w:rFonts w:cs="Tahoma"/>
        </w:rPr>
      </w:pPr>
    </w:p>
    <w:p w:rsidR="00795205" w:rsidRDefault="00803610" w:rsidP="00795205">
      <w:pPr>
        <w:ind w:firstLine="450"/>
        <w:rPr>
          <w:rFonts w:cs="Tahoma"/>
        </w:rPr>
      </w:pPr>
      <w:r>
        <w:rPr>
          <w:rFonts w:cs="Tahoma"/>
          <w:noProof/>
        </w:rPr>
        <w:pict>
          <v:shape id="_x0000_s1269" type="#_x0000_t202" style="position:absolute;left:0;text-align:left;margin-left:-229.5pt;margin-top:199.65pt;width:214.7pt;height:199.5pt;z-index:251789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" stroked="f">
            <v:textbox style="mso-next-textbox:#_x0000_s1269">
              <w:txbxContent>
                <w:p w:rsidR="0095363A" w:rsidRPr="00B6232B" w:rsidRDefault="0095363A" w:rsidP="0095363A">
                  <w:pPr>
                    <w:pStyle w:val="Caption"/>
                    <w:rPr>
                      <w:rFonts w:cs="Tahoma"/>
                      <w:b w:val="0"/>
                      <w:lang w:val="mk-MK"/>
                    </w:rPr>
                  </w:pPr>
                  <w:r>
                    <w:t xml:space="preserve">Chart </w:t>
                  </w:r>
                  <w:fldSimple w:instr=" SEQ Графикон_бр. \* ARABIC ">
                    <w:r w:rsidR="005A019D">
                      <w:rPr>
                        <w:noProof/>
                      </w:rPr>
                      <w:t>114</w:t>
                    </w:r>
                  </w:fldSimple>
                  <w:r w:rsidRPr="00E8302F">
                    <w:rPr>
                      <w:rFonts w:cs="Tahoma"/>
                      <w:lang w:val="mk-MK"/>
                    </w:rPr>
                    <w:t xml:space="preserve"> </w:t>
                  </w:r>
                </w:p>
                <w:p w:rsidR="00280598" w:rsidRPr="0095363A" w:rsidRDefault="00280598" w:rsidP="00795205">
                  <w:pPr>
                    <w:tabs>
                      <w:tab w:val="left" w:pos="90"/>
                    </w:tabs>
                    <w:jc w:val="left"/>
                    <w:rPr>
                      <w:rFonts w:eastAsia="Tahoma,Bold" w:cs="Tahoma"/>
                      <w:b/>
                      <w:bCs/>
                      <w:sz w:val="20"/>
                      <w:szCs w:val="20"/>
                      <w:lang w:eastAsia="mk-MK"/>
                    </w:rPr>
                  </w:pPr>
                  <w:r w:rsidRPr="0095363A">
                    <w:rPr>
                      <w:rFonts w:eastAsia="Tahoma,Bold" w:cs="Tahoma"/>
                      <w:b/>
                      <w:bCs/>
                      <w:sz w:val="20"/>
                      <w:szCs w:val="20"/>
                      <w:lang w:eastAsia="mk-MK"/>
                    </w:rPr>
                    <w:t xml:space="preserve">Net interest margin, by banks </w:t>
                  </w:r>
                </w:p>
                <w:p w:rsidR="00280598" w:rsidRDefault="00280598" w:rsidP="00795205">
                  <w:pPr>
                    <w:tabs>
                      <w:tab w:val="left" w:pos="90"/>
                    </w:tabs>
                    <w:jc w:val="left"/>
                    <w:rPr>
                      <w:sz w:val="18"/>
                      <w:szCs w:val="18"/>
                    </w:rPr>
                  </w:pPr>
                  <w:r>
                    <w:rPr>
                      <w:rFonts w:cs="Tahoma"/>
                      <w:color w:val="000000"/>
                      <w:sz w:val="18"/>
                      <w:szCs w:val="18"/>
                      <w:lang w:eastAsia="mk-MK"/>
                    </w:rPr>
                    <w:t>in %</w:t>
                  </w:r>
                  <w:r w:rsidRPr="00EB1CD2">
                    <w:rPr>
                      <w:rFonts w:cs="Tahoma"/>
                      <w:color w:val="000000"/>
                      <w:sz w:val="18"/>
                      <w:szCs w:val="18"/>
                      <w:lang w:eastAsia="mk-MK"/>
                    </w:rPr>
                    <w:t xml:space="preserve"> </w:t>
                  </w:r>
                  <w:r w:rsidRPr="00EB1CD2">
                    <w:rPr>
                      <w:sz w:val="18"/>
                      <w:szCs w:val="18"/>
                    </w:rPr>
                    <w:t xml:space="preserve"> </w:t>
                  </w:r>
                </w:p>
                <w:p w:rsidR="00280598" w:rsidRPr="00EB1CD2" w:rsidRDefault="00280598" w:rsidP="00795205">
                  <w:pPr>
                    <w:tabs>
                      <w:tab w:val="left" w:pos="90"/>
                    </w:tabs>
                    <w:jc w:val="left"/>
                    <w:rPr>
                      <w:sz w:val="18"/>
                      <w:szCs w:val="18"/>
                    </w:rPr>
                  </w:pPr>
                  <w:r w:rsidRPr="00B703D8">
                    <w:rPr>
                      <w:noProof/>
                    </w:rPr>
                    <w:drawing>
                      <wp:inline distT="0" distB="0" distL="0" distR="0">
                        <wp:extent cx="2540393" cy="170157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0" cy="1703868"/>
                                </a:xfrm>
                                <a:prstGeom prst="rect">
                                  <a:avLst/>
                                </a:prstGeom>
                                <a:noFill/>
                                <a:ln>
                                  <a:noFill/>
                                </a:ln>
                              </pic:spPr>
                            </pic:pic>
                          </a:graphicData>
                        </a:graphic>
                      </wp:inline>
                    </w:drawing>
                  </w:r>
                </w:p>
                <w:p w:rsidR="00280598" w:rsidRPr="003A3FDD" w:rsidRDefault="00280598" w:rsidP="00795205">
                  <w:pPr>
                    <w:tabs>
                      <w:tab w:val="left" w:pos="90"/>
                    </w:tabs>
                    <w:rPr>
                      <w:lang w:val="mk-MK"/>
                    </w:rPr>
                  </w:pPr>
                  <w:r>
                    <w:rPr>
                      <w:sz w:val="18"/>
                      <w:szCs w:val="18"/>
                    </w:rPr>
                    <w:t>Source: NBRM, based on data submitted by banks.</w:t>
                  </w:r>
                </w:p>
                <w:p w:rsidR="00280598" w:rsidRPr="003A3FDD" w:rsidRDefault="00280598" w:rsidP="00795205">
                  <w:pPr>
                    <w:tabs>
                      <w:tab w:val="left" w:pos="90"/>
                    </w:tabs>
                    <w:rPr>
                      <w:lang w:val="mk-MK"/>
                    </w:rPr>
                  </w:pPr>
                </w:p>
                <w:p w:rsidR="00280598" w:rsidRDefault="00280598" w:rsidP="00795205">
                  <w:pPr>
                    <w:pStyle w:val="Caption"/>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Pr="008476D5" w:rsidRDefault="00280598" w:rsidP="00795205">
                  <w:pPr>
                    <w:tabs>
                      <w:tab w:val="left" w:pos="90"/>
                    </w:tabs>
                    <w:rPr>
                      <w:sz w:val="20"/>
                      <w:szCs w:val="20"/>
                      <w:lang w:val="mk-MK"/>
                    </w:rPr>
                  </w:pPr>
                  <w:r w:rsidRPr="008476D5">
                    <w:rPr>
                      <w:sz w:val="20"/>
                      <w:szCs w:val="20"/>
                      <w:lang w:val="mk-MK"/>
                    </w:rPr>
                    <w:t>Извор:</w:t>
                  </w:r>
                </w:p>
              </w:txbxContent>
            </v:textbox>
            <w10:wrap type="square" anchorx="margin" anchory="margin"/>
          </v:shape>
        </w:pict>
      </w:r>
      <w:r w:rsidR="00795205" w:rsidRPr="00392EE2">
        <w:rPr>
          <w:rFonts w:cs="Tahoma"/>
        </w:rPr>
        <w:t>Annual increase was recorded also in the net interest margin</w:t>
      </w:r>
      <w:r w:rsidR="00795205" w:rsidRPr="00392EE2">
        <w:rPr>
          <w:rStyle w:val="FootnoteReference"/>
          <w:rFonts w:cs="Tahoma"/>
          <w:bCs/>
          <w:lang w:eastAsia="mk-MK"/>
        </w:rPr>
        <w:footnoteReference w:id="99"/>
      </w:r>
      <w:r w:rsidR="00795205" w:rsidRPr="00392EE2">
        <w:rPr>
          <w:rFonts w:cs="Tahoma"/>
        </w:rPr>
        <w:t xml:space="preserve"> (by 0.1 percentage point compared to 2012), reflecting the more pronounced annual growth in the net interest income (by 6.9%) than the growth in the average interest-bearing assets (by 5.9%). In fact, the main cause for the increase in the interest margin is the reduction in interest expenses. In contrast, the prudence of banks in taking risks, and the lower lending rates, caused further downtrend in interest income per unit of interest-bearing assets (by 0.3 percentage points). At the same time, annual decrease was registered also in the expenses per unit of interest-bearing liabilities (by 0.4 percentage points) due to the divergent movements of both components - reduction of interest expenses and increase in the average interest-bearing liabilities of banks.</w:t>
      </w:r>
    </w:p>
    <w:p w:rsidR="00795205" w:rsidRDefault="00795205" w:rsidP="00795205">
      <w:pPr>
        <w:ind w:firstLine="709"/>
        <w:rPr>
          <w:rFonts w:cs="Tahoma"/>
        </w:rPr>
      </w:pPr>
    </w:p>
    <w:p w:rsidR="005A019D" w:rsidRDefault="005A019D" w:rsidP="00795205">
      <w:pPr>
        <w:ind w:firstLine="709"/>
        <w:rPr>
          <w:rFonts w:cs="Tahoma"/>
        </w:rPr>
      </w:pPr>
    </w:p>
    <w:p w:rsidR="005A019D" w:rsidRDefault="005A019D" w:rsidP="00795205">
      <w:pPr>
        <w:ind w:firstLine="709"/>
        <w:rPr>
          <w:rFonts w:cs="Tahoma"/>
        </w:rPr>
      </w:pPr>
    </w:p>
    <w:p w:rsidR="005A019D" w:rsidRDefault="005A019D" w:rsidP="00795205">
      <w:pPr>
        <w:ind w:firstLine="709"/>
        <w:rPr>
          <w:rFonts w:cs="Tahoma"/>
        </w:rPr>
      </w:pPr>
    </w:p>
    <w:p w:rsidR="005A019D" w:rsidRDefault="005A019D" w:rsidP="00795205">
      <w:pPr>
        <w:ind w:firstLine="709"/>
        <w:rPr>
          <w:rFonts w:cs="Tahoma"/>
        </w:rPr>
      </w:pPr>
    </w:p>
    <w:p w:rsidR="005A019D" w:rsidRDefault="005A019D" w:rsidP="00795205">
      <w:pPr>
        <w:ind w:firstLine="709"/>
        <w:rPr>
          <w:rFonts w:cs="Tahoma"/>
        </w:rPr>
      </w:pPr>
    </w:p>
    <w:p w:rsidR="005A019D" w:rsidRDefault="005A019D" w:rsidP="00795205">
      <w:pPr>
        <w:ind w:firstLine="709"/>
        <w:rPr>
          <w:rFonts w:cs="Tahoma"/>
        </w:rPr>
      </w:pPr>
    </w:p>
    <w:p w:rsidR="005A019D" w:rsidRDefault="005A019D" w:rsidP="00795205">
      <w:pPr>
        <w:ind w:firstLine="709"/>
        <w:rPr>
          <w:rFonts w:cs="Tahoma"/>
        </w:rPr>
      </w:pPr>
    </w:p>
    <w:p w:rsidR="005A019D" w:rsidRDefault="005A019D" w:rsidP="00795205">
      <w:pPr>
        <w:ind w:firstLine="709"/>
        <w:rPr>
          <w:rFonts w:cs="Tahoma"/>
        </w:rPr>
      </w:pPr>
    </w:p>
    <w:p w:rsidR="005A019D" w:rsidRDefault="005A019D" w:rsidP="00795205">
      <w:pPr>
        <w:ind w:firstLine="709"/>
        <w:rPr>
          <w:rFonts w:cs="Tahoma"/>
        </w:rPr>
      </w:pPr>
    </w:p>
    <w:p w:rsidR="005A019D" w:rsidRPr="00392EE2" w:rsidRDefault="005A019D" w:rsidP="00795205">
      <w:pPr>
        <w:ind w:firstLine="709"/>
        <w:rPr>
          <w:rFonts w:cs="Tahoma"/>
        </w:rPr>
      </w:pPr>
    </w:p>
    <w:p w:rsidR="00795205" w:rsidRPr="00392EE2" w:rsidRDefault="00795205" w:rsidP="00795205">
      <w:pPr>
        <w:ind w:firstLine="450"/>
        <w:rPr>
          <w:rFonts w:cs="Tahoma"/>
        </w:rPr>
      </w:pPr>
      <w:r w:rsidRPr="00392EE2">
        <w:rPr>
          <w:rFonts w:cs="Tahoma"/>
        </w:rPr>
        <w:lastRenderedPageBreak/>
        <w:t>Ten out of sixteen banks reported higher net interest margin compared to the net interest margin of the banking system, which is an improvement of one bank, compared with 2012.</w:t>
      </w:r>
    </w:p>
    <w:p w:rsidR="005A019D" w:rsidRPr="00392EE2" w:rsidRDefault="005A019D" w:rsidP="005A019D">
      <w:pPr>
        <w:rPr>
          <w:rFonts w:cs="Tahoma"/>
        </w:rPr>
      </w:pPr>
    </w:p>
    <w:p w:rsidR="00795205" w:rsidRPr="00392EE2" w:rsidRDefault="00795205" w:rsidP="00795205">
      <w:pPr>
        <w:ind w:firstLine="450"/>
        <w:rPr>
          <w:rFonts w:eastAsiaTheme="minorHAnsi" w:cs="Tahoma"/>
        </w:rPr>
      </w:pPr>
      <w:r w:rsidRPr="00392EE2">
        <w:rPr>
          <w:rFonts w:cs="Tahoma"/>
        </w:rPr>
        <w:t>Improved profitability and efficiency of banks in 2013 brought banks in the Republic of Macedonia closer to the banks of the region and of certain EU Member States. With realized rate of return on assets of 0.6% and rate of return on equity of 5.7% at the end of 2013, the banking system of the Republic of Macedonia was positioned in the middle part of the group of analyzed countries. However, there is a considerable room for further improvement of the performance of the banking system of the Republic of Macedonia, including its profitability potential, especially if the banks which showed a negative financial result are successful, in the next period, in reaching the level of activity that would be appropriate for achieving better financial results</w:t>
      </w:r>
      <w:r w:rsidRPr="00392EE2">
        <w:rPr>
          <w:rFonts w:eastAsiaTheme="minorHAnsi" w:cs="Tahoma"/>
        </w:rPr>
        <w:t xml:space="preserve">. </w:t>
      </w:r>
    </w:p>
    <w:p w:rsidR="00795205" w:rsidRPr="00392EE2" w:rsidRDefault="00803610" w:rsidP="00795205">
      <w:pPr>
        <w:autoSpaceDE w:val="0"/>
        <w:autoSpaceDN w:val="0"/>
        <w:adjustRightInd w:val="0"/>
        <w:ind w:firstLine="709"/>
        <w:rPr>
          <w:rFonts w:eastAsiaTheme="minorHAnsi" w:cs="Tahoma"/>
        </w:rPr>
      </w:pPr>
      <w:r w:rsidRPr="00803610">
        <w:rPr>
          <w:rFonts w:cs="Tahoma"/>
          <w:noProof/>
        </w:rPr>
        <w:pict>
          <v:shape id="_x0000_s1270" type="#_x0000_t202" style="position:absolute;left:0;text-align:left;margin-left:-223.3pt;margin-top:-3.6pt;width:214.7pt;height:280.6pt;z-index:25179033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" stroked="f">
            <v:textbox style="mso-next-textbox:#_x0000_s1270">
              <w:txbxContent>
                <w:p w:rsidR="005A019D" w:rsidRPr="00B6232B" w:rsidRDefault="005A019D" w:rsidP="005A019D">
                  <w:pPr>
                    <w:pStyle w:val="Caption"/>
                    <w:rPr>
                      <w:rFonts w:cs="Tahoma"/>
                      <w:b w:val="0"/>
                      <w:lang w:val="mk-MK"/>
                    </w:rPr>
                  </w:pPr>
                  <w:r>
                    <w:t xml:space="preserve">Chart </w:t>
                  </w:r>
                  <w:fldSimple w:instr=" SEQ Графикон_бр. \* ARABIC ">
                    <w:r>
                      <w:rPr>
                        <w:noProof/>
                      </w:rPr>
                      <w:t>115</w:t>
                    </w:r>
                  </w:fldSimple>
                  <w:r w:rsidRPr="00E8302F">
                    <w:rPr>
                      <w:rFonts w:cs="Tahoma"/>
                      <w:lang w:val="mk-MK"/>
                    </w:rPr>
                    <w:t xml:space="preserve"> </w:t>
                  </w:r>
                </w:p>
                <w:p w:rsidR="00280598" w:rsidRPr="005A019D" w:rsidRDefault="00280598" w:rsidP="00795205">
                  <w:pPr>
                    <w:tabs>
                      <w:tab w:val="left" w:pos="90"/>
                    </w:tabs>
                    <w:rPr>
                      <w:rFonts w:cs="Tahoma"/>
                      <w:b/>
                      <w:bCs/>
                      <w:sz w:val="20"/>
                      <w:szCs w:val="20"/>
                    </w:rPr>
                  </w:pPr>
                  <w:r w:rsidRPr="005A019D">
                    <w:rPr>
                      <w:rFonts w:cs="Tahoma"/>
                      <w:b/>
                      <w:bCs/>
                      <w:sz w:val="20"/>
                      <w:szCs w:val="20"/>
                    </w:rPr>
                    <w:t xml:space="preserve">Return on assets and return on equity, by seperate countries  </w:t>
                  </w:r>
                </w:p>
                <w:p w:rsidR="00280598" w:rsidRDefault="00280598" w:rsidP="00795205">
                  <w:pPr>
                    <w:tabs>
                      <w:tab w:val="left" w:pos="90"/>
                    </w:tabs>
                    <w:jc w:val="left"/>
                    <w:rPr>
                      <w:sz w:val="18"/>
                      <w:szCs w:val="18"/>
                    </w:rPr>
                  </w:pPr>
                  <w:r>
                    <w:rPr>
                      <w:rFonts w:cs="Tahoma"/>
                      <w:color w:val="000000"/>
                      <w:sz w:val="18"/>
                      <w:szCs w:val="18"/>
                      <w:lang w:eastAsia="mk-MK"/>
                    </w:rPr>
                    <w:t>in %</w:t>
                  </w:r>
                  <w:r w:rsidRPr="00EB1CD2">
                    <w:rPr>
                      <w:rFonts w:cs="Tahoma"/>
                      <w:color w:val="000000"/>
                      <w:sz w:val="18"/>
                      <w:szCs w:val="18"/>
                      <w:lang w:eastAsia="mk-MK"/>
                    </w:rPr>
                    <w:t xml:space="preserve"> </w:t>
                  </w:r>
                  <w:r w:rsidRPr="00EB1CD2">
                    <w:rPr>
                      <w:sz w:val="18"/>
                      <w:szCs w:val="18"/>
                    </w:rPr>
                    <w:t xml:space="preserve"> </w:t>
                  </w:r>
                </w:p>
                <w:p w:rsidR="00280598" w:rsidRPr="00EB1CD2" w:rsidRDefault="00280598" w:rsidP="00795205">
                  <w:pPr>
                    <w:tabs>
                      <w:tab w:val="left" w:pos="90"/>
                    </w:tabs>
                    <w:jc w:val="left"/>
                    <w:rPr>
                      <w:sz w:val="18"/>
                      <w:szCs w:val="18"/>
                    </w:rPr>
                  </w:pPr>
                  <w:r w:rsidRPr="00912822">
                    <w:rPr>
                      <w:noProof/>
                    </w:rPr>
                    <w:drawing>
                      <wp:inline distT="0" distB="0" distL="0" distR="0">
                        <wp:extent cx="2543810" cy="1905681"/>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0" cy="1905681"/>
                                </a:xfrm>
                                <a:prstGeom prst="rect">
                                  <a:avLst/>
                                </a:prstGeom>
                                <a:noFill/>
                                <a:ln>
                                  <a:noFill/>
                                </a:ln>
                              </pic:spPr>
                            </pic:pic>
                          </a:graphicData>
                        </a:graphic>
                      </wp:inline>
                    </w:drawing>
                  </w:r>
                </w:p>
                <w:p w:rsidR="00280598" w:rsidRPr="003572BF" w:rsidRDefault="00280598" w:rsidP="00795205">
                  <w:pPr>
                    <w:tabs>
                      <w:tab w:val="left" w:pos="90"/>
                    </w:tabs>
                    <w:rPr>
                      <w:rFonts w:cs="Tahoma"/>
                      <w:sz w:val="18"/>
                      <w:szCs w:val="18"/>
                    </w:rPr>
                  </w:pPr>
                  <w:r w:rsidRPr="003572BF">
                    <w:rPr>
                      <w:rFonts w:cs="Tahoma"/>
                      <w:sz w:val="18"/>
                      <w:szCs w:val="18"/>
                    </w:rPr>
                    <w:t>Source: NBRM, based on data submitted by banks.</w:t>
                  </w:r>
                </w:p>
                <w:p w:rsidR="00280598" w:rsidRPr="003572BF" w:rsidRDefault="00280598" w:rsidP="00795205">
                  <w:pPr>
                    <w:tabs>
                      <w:tab w:val="left" w:pos="90"/>
                    </w:tabs>
                    <w:rPr>
                      <w:rFonts w:cs="Tahoma"/>
                      <w:sz w:val="18"/>
                      <w:szCs w:val="18"/>
                      <w:lang w:val="mk-MK"/>
                    </w:rPr>
                  </w:pPr>
                  <w:r w:rsidRPr="003572BF">
                    <w:rPr>
                      <w:rFonts w:cs="Tahoma"/>
                      <w:sz w:val="18"/>
                      <w:szCs w:val="18"/>
                    </w:rPr>
                    <w:t>Note: The data on the analyzed countries refer to September 2013, except Macedonia, Croatia, Estonia (December 2013) and Italy, Spain, Poland and Albania (June 2013). There is no data for ROAE for Greece.</w:t>
                  </w:r>
                </w:p>
                <w:p w:rsidR="00280598" w:rsidRDefault="00280598" w:rsidP="00795205">
                  <w:pPr>
                    <w:pStyle w:val="Caption"/>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Pr="008476D5" w:rsidRDefault="00280598" w:rsidP="00795205">
                  <w:pPr>
                    <w:tabs>
                      <w:tab w:val="left" w:pos="90"/>
                    </w:tabs>
                    <w:rPr>
                      <w:sz w:val="20"/>
                      <w:szCs w:val="20"/>
                      <w:lang w:val="mk-MK"/>
                    </w:rPr>
                  </w:pPr>
                  <w:r w:rsidRPr="008476D5">
                    <w:rPr>
                      <w:sz w:val="20"/>
                      <w:szCs w:val="20"/>
                      <w:lang w:val="mk-MK"/>
                    </w:rPr>
                    <w:t>Извор:</w:t>
                  </w:r>
                </w:p>
              </w:txbxContent>
            </v:textbox>
            <w10:wrap type="square" anchorx="margin" anchory="margin"/>
          </v:shape>
        </w:pict>
      </w:r>
    </w:p>
    <w:p w:rsidR="00795205" w:rsidRPr="00392EE2" w:rsidRDefault="00795205" w:rsidP="005A019D">
      <w:pPr>
        <w:pStyle w:val="Heading3"/>
      </w:pPr>
      <w:bookmarkStart w:id="157" w:name="_Toc297621307"/>
      <w:bookmarkStart w:id="158" w:name="_Toc299102841"/>
      <w:bookmarkStart w:id="159" w:name="_Toc303173389"/>
      <w:bookmarkStart w:id="160" w:name="_Toc309974308"/>
      <w:r w:rsidRPr="00392EE2">
        <w:t xml:space="preserve"> </w:t>
      </w:r>
      <w:bookmarkStart w:id="161" w:name="_Toc393283613"/>
      <w:r w:rsidRPr="00392EE2">
        <w:t>Movements in interest rates and the interest rate spread</w:t>
      </w:r>
      <w:bookmarkEnd w:id="161"/>
      <w:r w:rsidRPr="00392EE2">
        <w:t xml:space="preserve"> </w:t>
      </w:r>
      <w:bookmarkEnd w:id="157"/>
      <w:bookmarkEnd w:id="158"/>
      <w:bookmarkEnd w:id="159"/>
      <w:bookmarkEnd w:id="160"/>
    </w:p>
    <w:p w:rsidR="00795205" w:rsidRPr="00392EE2" w:rsidRDefault="00795205" w:rsidP="00795205">
      <w:pPr>
        <w:ind w:firstLine="540"/>
        <w:rPr>
          <w:rFonts w:cs="Tahoma"/>
        </w:rPr>
      </w:pPr>
    </w:p>
    <w:p w:rsidR="00795205" w:rsidRPr="00392EE2" w:rsidRDefault="00803610" w:rsidP="00795205">
      <w:pPr>
        <w:tabs>
          <w:tab w:val="left" w:pos="450"/>
        </w:tabs>
        <w:autoSpaceDE w:val="0"/>
        <w:autoSpaceDN w:val="0"/>
        <w:adjustRightInd w:val="0"/>
        <w:ind w:firstLine="450"/>
        <w:rPr>
          <w:rFonts w:cs="Tahoma"/>
        </w:rPr>
      </w:pPr>
      <w:r>
        <w:rPr>
          <w:rFonts w:cs="Tahoma"/>
          <w:noProof/>
        </w:rPr>
        <w:pict>
          <v:shape id="_x0000_s1274" type="#_x0000_t202" style="position:absolute;left:0;text-align:left;margin-left:-216.75pt;margin-top:345.9pt;width:214.7pt;height:202.5pt;z-index:251794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" stroked="f">
            <v:textbox style="mso-next-textbox:#_x0000_s1274">
              <w:txbxContent>
                <w:p w:rsidR="00D64505" w:rsidRPr="00B6232B" w:rsidRDefault="00D64505" w:rsidP="00D64505">
                  <w:pPr>
                    <w:pStyle w:val="Caption"/>
                    <w:rPr>
                      <w:rFonts w:cs="Tahoma"/>
                      <w:b w:val="0"/>
                      <w:lang w:val="mk-MK"/>
                    </w:rPr>
                  </w:pPr>
                  <w:r>
                    <w:t xml:space="preserve">Chart </w:t>
                  </w:r>
                  <w:fldSimple w:instr=" SEQ Графикон_бр. \* ARABIC ">
                    <w:r>
                      <w:rPr>
                        <w:noProof/>
                      </w:rPr>
                      <w:t>116</w:t>
                    </w:r>
                  </w:fldSimple>
                  <w:r w:rsidRPr="00E8302F">
                    <w:rPr>
                      <w:rFonts w:cs="Tahoma"/>
                      <w:lang w:val="mk-MK"/>
                    </w:rPr>
                    <w:t xml:space="preserve"> </w:t>
                  </w:r>
                </w:p>
                <w:p w:rsidR="00280598" w:rsidRPr="00D64505" w:rsidRDefault="00280598" w:rsidP="00795205">
                  <w:pPr>
                    <w:tabs>
                      <w:tab w:val="left" w:pos="90"/>
                    </w:tabs>
                    <w:jc w:val="left"/>
                    <w:rPr>
                      <w:rFonts w:cs="Tahoma"/>
                      <w:b/>
                      <w:bCs/>
                      <w:sz w:val="20"/>
                      <w:szCs w:val="20"/>
                    </w:rPr>
                  </w:pPr>
                  <w:r w:rsidRPr="00D64505">
                    <w:rPr>
                      <w:rFonts w:cs="Tahoma"/>
                      <w:b/>
                      <w:bCs/>
                      <w:sz w:val="20"/>
                      <w:szCs w:val="20"/>
                    </w:rPr>
                    <w:t xml:space="preserve">Lending interest rates </w:t>
                  </w:r>
                </w:p>
                <w:p w:rsidR="00280598" w:rsidRDefault="00280598" w:rsidP="00795205">
                  <w:pPr>
                    <w:tabs>
                      <w:tab w:val="left" w:pos="90"/>
                    </w:tabs>
                    <w:jc w:val="left"/>
                    <w:rPr>
                      <w:sz w:val="18"/>
                      <w:szCs w:val="18"/>
                    </w:rPr>
                  </w:pPr>
                  <w:r>
                    <w:rPr>
                      <w:rFonts w:cs="Tahoma"/>
                      <w:color w:val="000000"/>
                      <w:sz w:val="18"/>
                      <w:szCs w:val="18"/>
                      <w:lang w:eastAsia="mk-MK"/>
                    </w:rPr>
                    <w:t>in %</w:t>
                  </w:r>
                  <w:r w:rsidRPr="00EB1CD2">
                    <w:rPr>
                      <w:rFonts w:cs="Tahoma"/>
                      <w:color w:val="000000"/>
                      <w:sz w:val="18"/>
                      <w:szCs w:val="18"/>
                      <w:lang w:eastAsia="mk-MK"/>
                    </w:rPr>
                    <w:t xml:space="preserve"> </w:t>
                  </w:r>
                  <w:r w:rsidRPr="00EB1CD2">
                    <w:rPr>
                      <w:sz w:val="18"/>
                      <w:szCs w:val="18"/>
                    </w:rPr>
                    <w:t xml:space="preserve"> </w:t>
                  </w:r>
                </w:p>
                <w:p w:rsidR="00280598" w:rsidRPr="00EB1CD2" w:rsidRDefault="00280598" w:rsidP="00795205">
                  <w:pPr>
                    <w:tabs>
                      <w:tab w:val="left" w:pos="90"/>
                    </w:tabs>
                    <w:jc w:val="left"/>
                    <w:rPr>
                      <w:sz w:val="18"/>
                      <w:szCs w:val="18"/>
                    </w:rPr>
                  </w:pPr>
                  <w:r w:rsidRPr="00FF4C4F">
                    <w:rPr>
                      <w:noProof/>
                    </w:rPr>
                    <w:drawing>
                      <wp:inline distT="0" distB="0" distL="0" distR="0">
                        <wp:extent cx="2537518" cy="1752600"/>
                        <wp:effectExtent l="1905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0" cy="1756946"/>
                                </a:xfrm>
                                <a:prstGeom prst="rect">
                                  <a:avLst/>
                                </a:prstGeom>
                                <a:noFill/>
                                <a:ln>
                                  <a:noFill/>
                                </a:ln>
                              </pic:spPr>
                            </pic:pic>
                          </a:graphicData>
                        </a:graphic>
                      </wp:inline>
                    </w:drawing>
                  </w:r>
                </w:p>
                <w:p w:rsidR="00280598" w:rsidRDefault="00280598" w:rsidP="00795205">
                  <w:pPr>
                    <w:tabs>
                      <w:tab w:val="left" w:pos="90"/>
                    </w:tabs>
                    <w:rPr>
                      <w:lang w:val="mk-MK"/>
                    </w:rPr>
                  </w:pPr>
                  <w:r w:rsidRPr="003572BF">
                    <w:rPr>
                      <w:rFonts w:cs="Tahoma"/>
                      <w:sz w:val="18"/>
                      <w:szCs w:val="18"/>
                    </w:rPr>
                    <w:t>Source: NBRM, based on data submitted by banks.</w:t>
                  </w: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Pr="008476D5" w:rsidRDefault="00280598" w:rsidP="00795205">
                  <w:pPr>
                    <w:tabs>
                      <w:tab w:val="left" w:pos="90"/>
                    </w:tabs>
                    <w:rPr>
                      <w:sz w:val="20"/>
                      <w:szCs w:val="20"/>
                      <w:lang w:val="mk-MK"/>
                    </w:rPr>
                  </w:pPr>
                  <w:r w:rsidRPr="008476D5">
                    <w:rPr>
                      <w:sz w:val="20"/>
                      <w:szCs w:val="20"/>
                      <w:lang w:val="mk-MK"/>
                    </w:rPr>
                    <w:t>Извор:</w:t>
                  </w:r>
                </w:p>
              </w:txbxContent>
            </v:textbox>
            <w10:wrap type="square" anchorx="margin" anchory="margin"/>
          </v:shape>
        </w:pict>
      </w:r>
      <w:r w:rsidR="00795205" w:rsidRPr="00392EE2">
        <w:rPr>
          <w:rFonts w:cs="Tahoma"/>
        </w:rPr>
        <w:t>The trend of downward movement in the banks' interest rates continued throughout 2013, amid relaxed monetary conditions and reduced key interest rate of the National Bank</w:t>
      </w:r>
      <w:r w:rsidR="00795205" w:rsidRPr="00392EE2">
        <w:rPr>
          <w:rStyle w:val="FootnoteReference"/>
          <w:rFonts w:cs="Tahoma"/>
        </w:rPr>
        <w:footnoteReference w:id="100"/>
      </w:r>
      <w:r w:rsidR="00795205" w:rsidRPr="00392EE2">
        <w:rPr>
          <w:rFonts w:cs="Tahoma"/>
        </w:rPr>
        <w:t>, despite the modest upward movement of the one-month EURIBOR at the end of 2013 and in the beginning of 2014, as a result of the expectations for gradual normalization of the money market in the euro zone.</w:t>
      </w:r>
    </w:p>
    <w:p w:rsidR="00795205" w:rsidRDefault="00795205" w:rsidP="00795205">
      <w:pPr>
        <w:autoSpaceDE w:val="0"/>
        <w:autoSpaceDN w:val="0"/>
        <w:adjustRightInd w:val="0"/>
        <w:ind w:firstLine="709"/>
        <w:rPr>
          <w:rFonts w:cs="Tahoma"/>
        </w:rPr>
      </w:pPr>
    </w:p>
    <w:p w:rsidR="005A019D" w:rsidRDefault="005A019D" w:rsidP="00795205">
      <w:pPr>
        <w:autoSpaceDE w:val="0"/>
        <w:autoSpaceDN w:val="0"/>
        <w:adjustRightInd w:val="0"/>
        <w:ind w:firstLine="709"/>
        <w:rPr>
          <w:rFonts w:cs="Tahoma"/>
        </w:rPr>
      </w:pPr>
    </w:p>
    <w:p w:rsidR="005A019D" w:rsidRDefault="005A019D" w:rsidP="00795205">
      <w:pPr>
        <w:autoSpaceDE w:val="0"/>
        <w:autoSpaceDN w:val="0"/>
        <w:adjustRightInd w:val="0"/>
        <w:ind w:firstLine="709"/>
        <w:rPr>
          <w:rFonts w:cs="Tahoma"/>
        </w:rPr>
      </w:pPr>
    </w:p>
    <w:p w:rsidR="005A019D" w:rsidRDefault="005A019D" w:rsidP="00795205">
      <w:pPr>
        <w:autoSpaceDE w:val="0"/>
        <w:autoSpaceDN w:val="0"/>
        <w:adjustRightInd w:val="0"/>
        <w:ind w:firstLine="709"/>
        <w:rPr>
          <w:rFonts w:cs="Tahoma"/>
        </w:rPr>
      </w:pPr>
    </w:p>
    <w:p w:rsidR="005A019D" w:rsidRDefault="005A019D" w:rsidP="00795205">
      <w:pPr>
        <w:autoSpaceDE w:val="0"/>
        <w:autoSpaceDN w:val="0"/>
        <w:adjustRightInd w:val="0"/>
        <w:ind w:firstLine="709"/>
        <w:rPr>
          <w:rFonts w:cs="Tahoma"/>
        </w:rPr>
      </w:pPr>
    </w:p>
    <w:p w:rsidR="005A019D" w:rsidRDefault="005A019D" w:rsidP="00795205">
      <w:pPr>
        <w:autoSpaceDE w:val="0"/>
        <w:autoSpaceDN w:val="0"/>
        <w:adjustRightInd w:val="0"/>
        <w:ind w:firstLine="709"/>
        <w:rPr>
          <w:rFonts w:cs="Tahoma"/>
        </w:rPr>
      </w:pPr>
    </w:p>
    <w:p w:rsidR="005A019D" w:rsidRDefault="005A019D" w:rsidP="00795205">
      <w:pPr>
        <w:autoSpaceDE w:val="0"/>
        <w:autoSpaceDN w:val="0"/>
        <w:adjustRightInd w:val="0"/>
        <w:ind w:firstLine="709"/>
        <w:rPr>
          <w:rFonts w:cs="Tahoma"/>
        </w:rPr>
      </w:pPr>
    </w:p>
    <w:p w:rsidR="005A019D" w:rsidRDefault="005A019D" w:rsidP="00795205">
      <w:pPr>
        <w:autoSpaceDE w:val="0"/>
        <w:autoSpaceDN w:val="0"/>
        <w:adjustRightInd w:val="0"/>
        <w:ind w:firstLine="709"/>
        <w:rPr>
          <w:rFonts w:cs="Tahoma"/>
        </w:rPr>
      </w:pPr>
    </w:p>
    <w:p w:rsidR="005A019D" w:rsidRPr="00392EE2" w:rsidRDefault="005A019D" w:rsidP="00D64505">
      <w:pPr>
        <w:autoSpaceDE w:val="0"/>
        <w:autoSpaceDN w:val="0"/>
        <w:adjustRightInd w:val="0"/>
        <w:rPr>
          <w:rFonts w:cs="Tahoma"/>
        </w:rPr>
      </w:pPr>
    </w:p>
    <w:p w:rsidR="00795205" w:rsidRDefault="00803610" w:rsidP="00795205">
      <w:pPr>
        <w:autoSpaceDE w:val="0"/>
        <w:autoSpaceDN w:val="0"/>
        <w:adjustRightInd w:val="0"/>
        <w:ind w:firstLine="450"/>
        <w:rPr>
          <w:rFonts w:cs="Tahoma"/>
        </w:rPr>
      </w:pPr>
      <w:r>
        <w:rPr>
          <w:rFonts w:cs="Tahoma"/>
          <w:noProof/>
        </w:rPr>
        <w:lastRenderedPageBreak/>
        <w:pict>
          <v:shape id="_x0000_s1275" type="#_x0000_t202" style="position:absolute;left:0;text-align:left;margin-left:-229.5pt;margin-top:-6.6pt;width:214.7pt;height:192pt;z-index:25179545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" stroked="f">
            <v:textbox style="mso-next-textbox:#_x0000_s1275">
              <w:txbxContent>
                <w:p w:rsidR="00D64505" w:rsidRPr="00B6232B" w:rsidRDefault="00D64505" w:rsidP="00D64505">
                  <w:pPr>
                    <w:pStyle w:val="Caption"/>
                    <w:rPr>
                      <w:rFonts w:cs="Tahoma"/>
                      <w:b w:val="0"/>
                      <w:lang w:val="mk-MK"/>
                    </w:rPr>
                  </w:pPr>
                  <w:r>
                    <w:t xml:space="preserve">Chart </w:t>
                  </w:r>
                  <w:fldSimple w:instr=" SEQ Графикон_бр. \* ARABIC ">
                    <w:r>
                      <w:rPr>
                        <w:noProof/>
                      </w:rPr>
                      <w:t>117</w:t>
                    </w:r>
                  </w:fldSimple>
                  <w:r w:rsidRPr="00E8302F">
                    <w:rPr>
                      <w:rFonts w:cs="Tahoma"/>
                      <w:lang w:val="mk-MK"/>
                    </w:rPr>
                    <w:t xml:space="preserve"> </w:t>
                  </w:r>
                </w:p>
                <w:p w:rsidR="00280598" w:rsidRPr="00D64505" w:rsidRDefault="00280598" w:rsidP="00795205">
                  <w:pPr>
                    <w:tabs>
                      <w:tab w:val="left" w:pos="90"/>
                    </w:tabs>
                    <w:jc w:val="left"/>
                    <w:rPr>
                      <w:rFonts w:cs="Tahoma"/>
                      <w:b/>
                      <w:bCs/>
                      <w:sz w:val="20"/>
                      <w:szCs w:val="20"/>
                    </w:rPr>
                  </w:pPr>
                  <w:r w:rsidRPr="00D64505">
                    <w:rPr>
                      <w:rFonts w:cs="Tahoma"/>
                      <w:b/>
                      <w:bCs/>
                      <w:sz w:val="20"/>
                      <w:szCs w:val="20"/>
                    </w:rPr>
                    <w:t xml:space="preserve">Deposit interest rates </w:t>
                  </w:r>
                </w:p>
                <w:p w:rsidR="00280598" w:rsidRDefault="00280598" w:rsidP="00795205">
                  <w:pPr>
                    <w:tabs>
                      <w:tab w:val="left" w:pos="90"/>
                    </w:tabs>
                    <w:jc w:val="left"/>
                    <w:rPr>
                      <w:sz w:val="18"/>
                      <w:szCs w:val="18"/>
                    </w:rPr>
                  </w:pPr>
                  <w:r>
                    <w:rPr>
                      <w:rFonts w:cs="Tahoma"/>
                      <w:color w:val="000000"/>
                      <w:sz w:val="18"/>
                      <w:szCs w:val="18"/>
                      <w:lang w:eastAsia="mk-MK"/>
                    </w:rPr>
                    <w:t>in %</w:t>
                  </w:r>
                  <w:r w:rsidRPr="00EB1CD2">
                    <w:rPr>
                      <w:rFonts w:cs="Tahoma"/>
                      <w:color w:val="000000"/>
                      <w:sz w:val="18"/>
                      <w:szCs w:val="18"/>
                      <w:lang w:eastAsia="mk-MK"/>
                    </w:rPr>
                    <w:t xml:space="preserve"> </w:t>
                  </w:r>
                  <w:r w:rsidRPr="00EB1CD2">
                    <w:rPr>
                      <w:sz w:val="18"/>
                      <w:szCs w:val="18"/>
                    </w:rPr>
                    <w:t xml:space="preserve"> </w:t>
                  </w:r>
                </w:p>
                <w:p w:rsidR="00280598" w:rsidRPr="00EB1CD2" w:rsidRDefault="00280598" w:rsidP="00795205">
                  <w:pPr>
                    <w:tabs>
                      <w:tab w:val="left" w:pos="90"/>
                    </w:tabs>
                    <w:jc w:val="left"/>
                    <w:rPr>
                      <w:sz w:val="18"/>
                      <w:szCs w:val="18"/>
                    </w:rPr>
                  </w:pPr>
                  <w:r w:rsidRPr="00FF4C4F">
                    <w:rPr>
                      <w:noProof/>
                    </w:rPr>
                    <w:drawing>
                      <wp:inline distT="0" distB="0" distL="0" distR="0">
                        <wp:extent cx="2543810" cy="1619222"/>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0" cy="1619222"/>
                                </a:xfrm>
                                <a:prstGeom prst="rect">
                                  <a:avLst/>
                                </a:prstGeom>
                                <a:noFill/>
                                <a:ln>
                                  <a:noFill/>
                                </a:ln>
                              </pic:spPr>
                            </pic:pic>
                          </a:graphicData>
                        </a:graphic>
                      </wp:inline>
                    </w:drawing>
                  </w:r>
                </w:p>
                <w:p w:rsidR="00280598" w:rsidRDefault="00280598" w:rsidP="00795205">
                  <w:pPr>
                    <w:tabs>
                      <w:tab w:val="left" w:pos="90"/>
                    </w:tabs>
                    <w:rPr>
                      <w:lang w:val="mk-MK"/>
                    </w:rPr>
                  </w:pPr>
                  <w:r w:rsidRPr="003572BF">
                    <w:rPr>
                      <w:rFonts w:cs="Tahoma"/>
                      <w:sz w:val="18"/>
                      <w:szCs w:val="18"/>
                    </w:rPr>
                    <w:t>Source: NBRM, based on data submitted by banks.</w:t>
                  </w: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Pr="008476D5" w:rsidRDefault="00280598" w:rsidP="00795205">
                  <w:pPr>
                    <w:tabs>
                      <w:tab w:val="left" w:pos="90"/>
                    </w:tabs>
                    <w:rPr>
                      <w:sz w:val="20"/>
                      <w:szCs w:val="20"/>
                      <w:lang w:val="mk-MK"/>
                    </w:rPr>
                  </w:pPr>
                  <w:r w:rsidRPr="008476D5">
                    <w:rPr>
                      <w:sz w:val="20"/>
                      <w:szCs w:val="20"/>
                      <w:lang w:val="mk-MK"/>
                    </w:rPr>
                    <w:t>Извор:</w:t>
                  </w:r>
                </w:p>
              </w:txbxContent>
            </v:textbox>
            <w10:wrap type="square" anchorx="margin" anchory="margin"/>
          </v:shape>
        </w:pict>
      </w:r>
      <w:r w:rsidR="00795205" w:rsidRPr="00392EE2">
        <w:rPr>
          <w:rFonts w:cs="Tahoma"/>
        </w:rPr>
        <w:t>Compared to December last year, the most significant is the reduction in interest rates on Denar deposits (by 0.8 percentage points), followed by Denar loans (by 0.7 percentage points), Denar loans with FX clause (by 0.6 percentage points), foreign currency deposits (by 0.5 percentage points) and foreign currency loans (by 0.4 percentage points). Only the interest rate on Denar deposits with FX clause remained unchanged.</w:t>
      </w:r>
    </w:p>
    <w:p w:rsidR="00D64505" w:rsidRDefault="00D64505" w:rsidP="00795205">
      <w:pPr>
        <w:autoSpaceDE w:val="0"/>
        <w:autoSpaceDN w:val="0"/>
        <w:adjustRightInd w:val="0"/>
        <w:ind w:firstLine="450"/>
        <w:rPr>
          <w:rFonts w:cs="Tahoma"/>
        </w:rPr>
      </w:pPr>
    </w:p>
    <w:p w:rsidR="00D64505" w:rsidRDefault="00D64505" w:rsidP="00795205">
      <w:pPr>
        <w:autoSpaceDE w:val="0"/>
        <w:autoSpaceDN w:val="0"/>
        <w:adjustRightInd w:val="0"/>
        <w:ind w:firstLine="450"/>
        <w:rPr>
          <w:rFonts w:cs="Tahoma"/>
        </w:rPr>
      </w:pPr>
    </w:p>
    <w:p w:rsidR="00D64505" w:rsidRPr="00392EE2" w:rsidRDefault="00D64505" w:rsidP="00795205">
      <w:pPr>
        <w:autoSpaceDE w:val="0"/>
        <w:autoSpaceDN w:val="0"/>
        <w:adjustRightInd w:val="0"/>
        <w:ind w:firstLine="450"/>
        <w:rPr>
          <w:rFonts w:cs="Tahoma"/>
        </w:rPr>
      </w:pPr>
    </w:p>
    <w:p w:rsidR="00795205" w:rsidRPr="00392EE2" w:rsidRDefault="00803610" w:rsidP="00795205">
      <w:pPr>
        <w:autoSpaceDE w:val="0"/>
        <w:autoSpaceDN w:val="0"/>
        <w:adjustRightInd w:val="0"/>
        <w:ind w:firstLine="709"/>
        <w:rPr>
          <w:rFonts w:cs="Tahoma"/>
        </w:rPr>
      </w:pPr>
      <w:r>
        <w:rPr>
          <w:rFonts w:cs="Tahoma"/>
          <w:noProof/>
        </w:rPr>
        <w:pict>
          <v:shape id="_x0000_s1276" type="#_x0000_t202" style="position:absolute;left:0;text-align:left;margin-left:-229.5pt;margin-top:185.4pt;width:214.7pt;height:198pt;z-index:25179648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" stroked="f">
            <v:textbox style="mso-next-textbox:#_x0000_s1276">
              <w:txbxContent>
                <w:p w:rsidR="00D64505" w:rsidRPr="00B6232B" w:rsidRDefault="00D64505" w:rsidP="00D64505">
                  <w:pPr>
                    <w:pStyle w:val="Caption"/>
                    <w:rPr>
                      <w:rFonts w:cs="Tahoma"/>
                      <w:b w:val="0"/>
                      <w:lang w:val="mk-MK"/>
                    </w:rPr>
                  </w:pPr>
                  <w:r>
                    <w:t xml:space="preserve">Chart </w:t>
                  </w:r>
                  <w:fldSimple w:instr=" SEQ Графикон_бр. \* ARABIC ">
                    <w:r>
                      <w:rPr>
                        <w:noProof/>
                      </w:rPr>
                      <w:t>118</w:t>
                    </w:r>
                  </w:fldSimple>
                  <w:r w:rsidRPr="00E8302F">
                    <w:rPr>
                      <w:rFonts w:cs="Tahoma"/>
                      <w:lang w:val="mk-MK"/>
                    </w:rPr>
                    <w:t xml:space="preserve"> </w:t>
                  </w:r>
                </w:p>
                <w:p w:rsidR="00280598" w:rsidRPr="00D64505" w:rsidRDefault="00280598" w:rsidP="00795205">
                  <w:pPr>
                    <w:autoSpaceDE w:val="0"/>
                    <w:autoSpaceDN w:val="0"/>
                    <w:adjustRightInd w:val="0"/>
                    <w:jc w:val="left"/>
                    <w:rPr>
                      <w:rFonts w:cs="Tahoma"/>
                      <w:b/>
                      <w:color w:val="000000"/>
                      <w:sz w:val="20"/>
                      <w:szCs w:val="20"/>
                      <w:lang w:eastAsia="mk-MK"/>
                    </w:rPr>
                  </w:pPr>
                  <w:r w:rsidRPr="00D64505">
                    <w:rPr>
                      <w:rFonts w:cs="Tahoma"/>
                      <w:b/>
                      <w:bCs/>
                      <w:color w:val="000000"/>
                      <w:sz w:val="20"/>
                      <w:szCs w:val="20"/>
                      <w:lang w:eastAsia="mk-MK"/>
                    </w:rPr>
                    <w:t xml:space="preserve">Interest rates spread, by currency </w:t>
                  </w:r>
                </w:p>
                <w:p w:rsidR="00280598" w:rsidRDefault="00280598" w:rsidP="00795205">
                  <w:pPr>
                    <w:tabs>
                      <w:tab w:val="left" w:pos="90"/>
                    </w:tabs>
                    <w:jc w:val="left"/>
                    <w:rPr>
                      <w:rFonts w:cs="Tahoma"/>
                      <w:color w:val="000000"/>
                      <w:sz w:val="18"/>
                      <w:szCs w:val="18"/>
                      <w:lang w:eastAsia="mk-MK"/>
                    </w:rPr>
                  </w:pPr>
                  <w:r w:rsidRPr="00FF4C4F">
                    <w:rPr>
                      <w:rFonts w:cs="Tahoma"/>
                      <w:color w:val="000000"/>
                      <w:sz w:val="18"/>
                      <w:szCs w:val="18"/>
                      <w:lang w:eastAsia="mk-MK"/>
                    </w:rPr>
                    <w:t>in percentage points</w:t>
                  </w:r>
                </w:p>
                <w:p w:rsidR="00280598" w:rsidRPr="00EB1CD2" w:rsidRDefault="00280598" w:rsidP="00795205">
                  <w:pPr>
                    <w:tabs>
                      <w:tab w:val="left" w:pos="90"/>
                    </w:tabs>
                    <w:jc w:val="left"/>
                    <w:rPr>
                      <w:sz w:val="18"/>
                      <w:szCs w:val="18"/>
                    </w:rPr>
                  </w:pPr>
                  <w:r w:rsidRPr="00FF4C4F">
                    <w:rPr>
                      <w:noProof/>
                    </w:rPr>
                    <w:drawing>
                      <wp:inline distT="0" distB="0" distL="0" distR="0">
                        <wp:extent cx="2543810" cy="1677064"/>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0" cy="1677064"/>
                                </a:xfrm>
                                <a:prstGeom prst="rect">
                                  <a:avLst/>
                                </a:prstGeom>
                                <a:noFill/>
                                <a:ln>
                                  <a:noFill/>
                                </a:ln>
                              </pic:spPr>
                            </pic:pic>
                          </a:graphicData>
                        </a:graphic>
                      </wp:inline>
                    </w:drawing>
                  </w:r>
                </w:p>
                <w:p w:rsidR="00280598" w:rsidRDefault="00280598" w:rsidP="00795205">
                  <w:pPr>
                    <w:tabs>
                      <w:tab w:val="left" w:pos="90"/>
                    </w:tabs>
                    <w:rPr>
                      <w:lang w:val="mk-MK"/>
                    </w:rPr>
                  </w:pPr>
                  <w:r w:rsidRPr="003572BF">
                    <w:rPr>
                      <w:rFonts w:cs="Tahoma"/>
                      <w:sz w:val="18"/>
                      <w:szCs w:val="18"/>
                    </w:rPr>
                    <w:t>Source: NBRM, based on data submitted by banks.</w:t>
                  </w: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Pr="008476D5" w:rsidRDefault="00280598" w:rsidP="00795205">
                  <w:pPr>
                    <w:tabs>
                      <w:tab w:val="left" w:pos="90"/>
                    </w:tabs>
                    <w:rPr>
                      <w:sz w:val="20"/>
                      <w:szCs w:val="20"/>
                      <w:lang w:val="mk-MK"/>
                    </w:rPr>
                  </w:pPr>
                  <w:r w:rsidRPr="008476D5">
                    <w:rPr>
                      <w:sz w:val="20"/>
                      <w:szCs w:val="20"/>
                      <w:lang w:val="mk-MK"/>
                    </w:rPr>
                    <w:t>Извор:</w:t>
                  </w:r>
                </w:p>
              </w:txbxContent>
            </v:textbox>
            <w10:wrap type="square" anchorx="margin" anchory="margin"/>
          </v:shape>
        </w:pict>
      </w:r>
      <w:r w:rsidR="00795205" w:rsidRPr="00392EE2">
        <w:rPr>
          <w:rFonts w:cs="Tahoma"/>
        </w:rPr>
        <w:t> </w:t>
      </w:r>
    </w:p>
    <w:p w:rsidR="00795205" w:rsidRPr="00392EE2" w:rsidRDefault="00795205" w:rsidP="00795205">
      <w:pPr>
        <w:autoSpaceDE w:val="0"/>
        <w:autoSpaceDN w:val="0"/>
        <w:adjustRightInd w:val="0"/>
        <w:ind w:firstLine="450"/>
        <w:rPr>
          <w:rFonts w:cs="Tahoma"/>
        </w:rPr>
      </w:pPr>
      <w:r w:rsidRPr="00392EE2">
        <w:rPr>
          <w:rFonts w:cs="Tahoma"/>
        </w:rPr>
        <w:t xml:space="preserve">During the first half of 2013, greater variability in interest rate spreads was registered, despite their more stable level during the second half of the year. Interest rate spreads in Denars and in foreign currency remained stable (they are at approximately the same level as in December last year), mainly due to the relatively harmonious movements in interest rates on Denar and foreign currency loans and deposits. In contrast, the narrowing of the spread in Denars with FX clause (by 0.5 percentage points), was due to the reduction in the interest rates on Denar loans with FX clause. </w:t>
      </w:r>
    </w:p>
    <w:p w:rsidR="00D64505" w:rsidRDefault="00D64505" w:rsidP="00D64505">
      <w:pPr>
        <w:autoSpaceDE w:val="0"/>
        <w:autoSpaceDN w:val="0"/>
        <w:adjustRightInd w:val="0"/>
        <w:rPr>
          <w:rFonts w:cs="Tahoma"/>
        </w:rPr>
      </w:pPr>
    </w:p>
    <w:p w:rsidR="004F7FD7" w:rsidRDefault="004F7FD7" w:rsidP="00D64505">
      <w:pPr>
        <w:autoSpaceDE w:val="0"/>
        <w:autoSpaceDN w:val="0"/>
        <w:adjustRightInd w:val="0"/>
        <w:rPr>
          <w:rFonts w:cs="Tahoma"/>
        </w:rPr>
      </w:pPr>
    </w:p>
    <w:p w:rsidR="004F7FD7" w:rsidRPr="00392EE2" w:rsidRDefault="004F7FD7" w:rsidP="00D64505">
      <w:pPr>
        <w:autoSpaceDE w:val="0"/>
        <w:autoSpaceDN w:val="0"/>
        <w:adjustRightInd w:val="0"/>
        <w:rPr>
          <w:rFonts w:cs="Tahoma"/>
        </w:rPr>
      </w:pPr>
    </w:p>
    <w:p w:rsidR="00795205" w:rsidRPr="00D64505" w:rsidRDefault="00795205" w:rsidP="00795205">
      <w:pPr>
        <w:pBdr>
          <w:top w:val="single" w:sz="4" w:space="1" w:color="auto"/>
          <w:left w:val="single" w:sz="4" w:space="4" w:color="auto"/>
          <w:bottom w:val="single" w:sz="4" w:space="1" w:color="auto"/>
          <w:right w:val="single" w:sz="4" w:space="4" w:color="auto"/>
        </w:pBdr>
        <w:ind w:left="-4536"/>
        <w:jc w:val="center"/>
        <w:textAlignment w:val="top"/>
        <w:rPr>
          <w:rFonts w:eastAsia="Times New Roman" w:cs="Tahoma"/>
          <w:b/>
          <w:color w:val="000000" w:themeColor="text1"/>
        </w:rPr>
      </w:pPr>
      <w:r w:rsidRPr="00D64505">
        <w:rPr>
          <w:rFonts w:eastAsia="Times New Roman" w:cs="Tahoma"/>
          <w:b/>
          <w:color w:val="000000" w:themeColor="text1"/>
        </w:rPr>
        <w:t>Breakdown (decomposition) of the rate of return on equity - ROAE</w:t>
      </w:r>
    </w:p>
    <w:p w:rsidR="00795205" w:rsidRPr="00D64505" w:rsidRDefault="00795205" w:rsidP="00795205">
      <w:pPr>
        <w:pBdr>
          <w:top w:val="single" w:sz="4" w:space="1" w:color="auto"/>
          <w:left w:val="single" w:sz="4" w:space="4" w:color="auto"/>
          <w:bottom w:val="single" w:sz="4" w:space="1" w:color="auto"/>
          <w:right w:val="single" w:sz="4" w:space="4" w:color="auto"/>
        </w:pBdr>
        <w:ind w:left="-4536"/>
        <w:textAlignment w:val="top"/>
        <w:rPr>
          <w:rFonts w:eastAsia="Times New Roman" w:cs="Tahoma"/>
          <w:b/>
          <w:color w:val="000000" w:themeColor="text1"/>
        </w:rPr>
      </w:pPr>
    </w:p>
    <w:p w:rsidR="00795205" w:rsidRPr="00D64505" w:rsidRDefault="00795205" w:rsidP="00795205">
      <w:pPr>
        <w:pBdr>
          <w:top w:val="single" w:sz="4" w:space="1" w:color="auto"/>
          <w:left w:val="single" w:sz="4" w:space="4" w:color="auto"/>
          <w:bottom w:val="single" w:sz="4" w:space="1" w:color="auto"/>
          <w:right w:val="single" w:sz="4" w:space="4" w:color="auto"/>
        </w:pBdr>
        <w:ind w:left="-4536"/>
        <w:textAlignment w:val="top"/>
        <w:rPr>
          <w:rFonts w:eastAsia="Times New Roman" w:cs="Tahoma"/>
          <w:color w:val="000000" w:themeColor="text1"/>
        </w:rPr>
      </w:pPr>
      <w:r w:rsidRPr="00D64505">
        <w:rPr>
          <w:rFonts w:eastAsia="Times New Roman" w:cs="Tahoma"/>
          <w:color w:val="000000" w:themeColor="text1"/>
        </w:rPr>
        <w:t>The rate of return on equity - ROAE is a widespread measure of banks' profitability. It shows how effectively the bank's management uses the funds that are made ​​available by the shareholders and is an indicator of the return that they generate as compensation for investing their capital in that particular bank. This indicator is inevitably linked with the ultimate goal of the bank and shows how successful the bank management is in maximizing shareholders' profits.</w:t>
      </w:r>
    </w:p>
    <w:p w:rsidR="00795205" w:rsidRPr="00D64505" w:rsidRDefault="00795205" w:rsidP="00795205">
      <w:pPr>
        <w:pBdr>
          <w:top w:val="single" w:sz="4" w:space="1" w:color="auto"/>
          <w:left w:val="single" w:sz="4" w:space="4" w:color="auto"/>
          <w:bottom w:val="single" w:sz="4" w:space="1" w:color="auto"/>
          <w:right w:val="single" w:sz="4" w:space="4" w:color="auto"/>
        </w:pBdr>
        <w:ind w:left="-4536"/>
        <w:textAlignment w:val="top"/>
        <w:rPr>
          <w:rFonts w:eastAsia="Times New Roman" w:cs="Tahoma"/>
          <w:color w:val="000000" w:themeColor="text1"/>
        </w:rPr>
      </w:pPr>
      <w:r w:rsidRPr="00D64505">
        <w:rPr>
          <w:rFonts w:eastAsia="Times New Roman" w:cs="Tahoma"/>
          <w:color w:val="000000" w:themeColor="text1"/>
        </w:rPr>
        <w:t>One way of decomposition of the rate of return on equity - ROAE is through its presentation as a product of four rates, including: profit margin, efficiency, indebtedness and the propensity for risk taking. Represented by an equation, the decomposition looks like this:</w:t>
      </w:r>
    </w:p>
    <w:p w:rsidR="00795205" w:rsidRPr="00D64505" w:rsidRDefault="00795205" w:rsidP="00795205">
      <w:pPr>
        <w:pBdr>
          <w:top w:val="single" w:sz="4" w:space="1" w:color="auto"/>
          <w:left w:val="single" w:sz="4" w:space="4" w:color="auto"/>
          <w:bottom w:val="single" w:sz="4" w:space="1" w:color="auto"/>
          <w:right w:val="single" w:sz="4" w:space="4" w:color="auto"/>
        </w:pBdr>
        <w:ind w:left="-4536"/>
        <w:textAlignment w:val="top"/>
        <w:rPr>
          <w:rFonts w:eastAsia="Times New Roman" w:cs="Tahoma"/>
          <w:color w:val="000000" w:themeColor="text1"/>
        </w:rPr>
      </w:pPr>
    </w:p>
    <w:p w:rsidR="00795205" w:rsidRPr="00D64505" w:rsidRDefault="00795205" w:rsidP="00795205">
      <w:pPr>
        <w:pBdr>
          <w:top w:val="single" w:sz="4" w:space="1" w:color="auto"/>
          <w:left w:val="single" w:sz="4" w:space="4" w:color="auto"/>
          <w:bottom w:val="single" w:sz="4" w:space="1" w:color="auto"/>
          <w:right w:val="single" w:sz="4" w:space="4" w:color="auto"/>
        </w:pBdr>
        <w:ind w:left="-4536"/>
        <w:textAlignment w:val="top"/>
        <w:rPr>
          <w:rFonts w:eastAsiaTheme="minorEastAsia" w:cs="Tahoma"/>
          <w:color w:val="000000" w:themeColor="text1"/>
        </w:rPr>
      </w:pPr>
      <m:oMathPara>
        <m:oMath>
          <m:r>
            <m:rPr>
              <m:sty m:val="p"/>
            </m:rPr>
            <w:rPr>
              <w:rFonts w:ascii="Cambria Math" w:hAnsi="Cambria Math" w:cs="Tahoma"/>
              <w:color w:val="000000" w:themeColor="text1"/>
            </w:rPr>
            <m:t>ROAE=</m:t>
          </m:r>
          <m:f>
            <m:fPr>
              <m:ctrlPr>
                <w:rPr>
                  <w:rFonts w:ascii="Cambria Math" w:hAnsi="Cambria Math" w:cs="Tahoma"/>
                  <w:color w:val="000000" w:themeColor="text1"/>
                </w:rPr>
              </m:ctrlPr>
            </m:fPr>
            <m:num>
              <m:r>
                <m:rPr>
                  <m:sty m:val="p"/>
                </m:rPr>
                <w:rPr>
                  <w:rFonts w:ascii="Cambria Math" w:hAnsi="Cambria Math" w:cs="Tahoma"/>
                  <w:color w:val="000000" w:themeColor="text1"/>
                </w:rPr>
                <m:t>P</m:t>
              </m:r>
            </m:num>
            <m:den>
              <m:r>
                <m:rPr>
                  <m:sty m:val="p"/>
                </m:rPr>
                <w:rPr>
                  <w:rFonts w:ascii="Cambria Math" w:hAnsi="Cambria Math" w:cs="Tahoma"/>
                  <w:color w:val="000000" w:themeColor="text1"/>
                </w:rPr>
                <m:t>S</m:t>
              </m:r>
            </m:den>
          </m:f>
          <m:r>
            <m:rPr>
              <m:sty m:val="p"/>
            </m:rPr>
            <w:rPr>
              <w:rFonts w:ascii="Cambria Math" w:hAnsi="Cambria Math" w:cs="Tahoma"/>
              <w:color w:val="000000" w:themeColor="text1"/>
            </w:rPr>
            <m:t>×</m:t>
          </m:r>
          <m:f>
            <m:fPr>
              <m:ctrlPr>
                <w:rPr>
                  <w:rFonts w:ascii="Cambria Math" w:hAnsi="Cambria Math" w:cs="Tahoma"/>
                  <w:color w:val="000000" w:themeColor="text1"/>
                </w:rPr>
              </m:ctrlPr>
            </m:fPr>
            <m:num>
              <m:r>
                <m:rPr>
                  <m:sty m:val="p"/>
                </m:rPr>
                <w:rPr>
                  <w:rFonts w:ascii="Cambria Math" w:hAnsi="Cambria Math" w:cs="Tahoma"/>
                  <w:color w:val="000000" w:themeColor="text1"/>
                </w:rPr>
                <m:t>S</m:t>
              </m:r>
            </m:num>
            <m:den>
              <m:r>
                <m:rPr>
                  <m:sty m:val="p"/>
                </m:rPr>
                <w:rPr>
                  <w:rFonts w:ascii="Cambria Math" w:hAnsi="Cambria Math" w:cs="Tahoma"/>
                  <w:color w:val="000000" w:themeColor="text1"/>
                </w:rPr>
                <m:t>RWA</m:t>
              </m:r>
            </m:den>
          </m:f>
          <m:r>
            <m:rPr>
              <m:sty m:val="p"/>
            </m:rPr>
            <w:rPr>
              <w:rFonts w:ascii="Cambria Math" w:hAnsi="Cambria Math" w:cs="Tahoma"/>
              <w:color w:val="000000" w:themeColor="text1"/>
            </w:rPr>
            <m:t>×</m:t>
          </m:r>
          <m:f>
            <m:fPr>
              <m:ctrlPr>
                <w:rPr>
                  <w:rFonts w:ascii="Cambria Math" w:hAnsi="Cambria Math" w:cs="Tahoma"/>
                  <w:color w:val="000000" w:themeColor="text1"/>
                </w:rPr>
              </m:ctrlPr>
            </m:fPr>
            <m:num>
              <m:r>
                <m:rPr>
                  <m:sty m:val="p"/>
                </m:rPr>
                <w:rPr>
                  <w:rFonts w:ascii="Cambria Math" w:hAnsi="Cambria Math" w:cs="Tahoma"/>
                  <w:color w:val="000000" w:themeColor="text1"/>
                </w:rPr>
                <m:t>A</m:t>
              </m:r>
            </m:num>
            <m:den>
              <m:r>
                <m:rPr>
                  <m:sty m:val="p"/>
                </m:rPr>
                <w:rPr>
                  <w:rFonts w:ascii="Cambria Math" w:hAnsi="Cambria Math" w:cs="Tahoma"/>
                  <w:color w:val="000000" w:themeColor="text1"/>
                </w:rPr>
                <m:t>CR</m:t>
              </m:r>
            </m:den>
          </m:f>
          <m:r>
            <m:rPr>
              <m:sty m:val="p"/>
            </m:rPr>
            <w:rPr>
              <w:rFonts w:ascii="Cambria Math" w:hAnsi="Cambria Math" w:cs="Tahoma"/>
              <w:color w:val="000000" w:themeColor="text1"/>
            </w:rPr>
            <m:t>×</m:t>
          </m:r>
          <m:f>
            <m:fPr>
              <m:ctrlPr>
                <w:rPr>
                  <w:rFonts w:ascii="Cambria Math" w:hAnsi="Cambria Math" w:cs="Tahoma"/>
                  <w:color w:val="000000" w:themeColor="text1"/>
                </w:rPr>
              </m:ctrlPr>
            </m:fPr>
            <m:num>
              <m:r>
                <m:rPr>
                  <m:sty m:val="p"/>
                </m:rPr>
                <w:rPr>
                  <w:rFonts w:ascii="Cambria Math" w:hAnsi="Cambria Math" w:cs="Tahoma"/>
                  <w:color w:val="000000" w:themeColor="text1"/>
                </w:rPr>
                <m:t>RWA</m:t>
              </m:r>
            </m:num>
            <m:den>
              <m:r>
                <m:rPr>
                  <m:sty m:val="p"/>
                </m:rPr>
                <w:rPr>
                  <w:rFonts w:ascii="Cambria Math" w:hAnsi="Cambria Math" w:cs="Tahoma"/>
                  <w:color w:val="000000" w:themeColor="text1"/>
                </w:rPr>
                <m:t>A</m:t>
              </m:r>
            </m:den>
          </m:f>
          <m:r>
            <m:rPr>
              <m:sty m:val="p"/>
            </m:rPr>
            <w:rPr>
              <w:rFonts w:ascii="Cambria Math" w:hAnsi="Cambria Math" w:cs="Tahoma"/>
              <w:color w:val="000000" w:themeColor="text1"/>
            </w:rPr>
            <m:t>=PM×RWAturnover×L×RBAratio, :</m:t>
          </m:r>
        </m:oMath>
      </m:oMathPara>
    </w:p>
    <w:p w:rsidR="00795205" w:rsidRPr="00D64505" w:rsidRDefault="00795205" w:rsidP="00795205">
      <w:pPr>
        <w:pBdr>
          <w:top w:val="single" w:sz="4" w:space="1" w:color="auto"/>
          <w:left w:val="single" w:sz="4" w:space="4" w:color="auto"/>
          <w:bottom w:val="single" w:sz="4" w:space="1" w:color="auto"/>
          <w:right w:val="single" w:sz="4" w:space="4" w:color="auto"/>
        </w:pBdr>
        <w:ind w:left="-4536"/>
        <w:textAlignment w:val="top"/>
        <w:rPr>
          <w:rFonts w:eastAsia="Times New Roman" w:cs="Tahoma"/>
          <w:color w:val="000000" w:themeColor="text1"/>
        </w:rPr>
      </w:pPr>
      <w:r w:rsidRPr="00D64505">
        <w:rPr>
          <w:rFonts w:eastAsia="Times New Roman" w:cs="Tahoma"/>
          <w:color w:val="000000" w:themeColor="text1"/>
        </w:rPr>
        <w:t>where:</w:t>
      </w:r>
    </w:p>
    <w:p w:rsidR="00795205" w:rsidRPr="00D64505" w:rsidRDefault="00795205" w:rsidP="00795205">
      <w:pPr>
        <w:pBdr>
          <w:top w:val="single" w:sz="4" w:space="1" w:color="auto"/>
          <w:left w:val="single" w:sz="4" w:space="4" w:color="auto"/>
          <w:bottom w:val="single" w:sz="4" w:space="1" w:color="auto"/>
          <w:right w:val="single" w:sz="4" w:space="4" w:color="auto"/>
        </w:pBdr>
        <w:ind w:left="-4536"/>
        <w:textAlignment w:val="top"/>
        <w:rPr>
          <w:rFonts w:eastAsia="Times New Roman" w:cs="Tahoma"/>
          <w:color w:val="000000" w:themeColor="text1"/>
        </w:rPr>
      </w:pPr>
    </w:p>
    <w:p w:rsidR="00795205" w:rsidRPr="00D64505" w:rsidRDefault="00795205" w:rsidP="00795205">
      <w:pPr>
        <w:pBdr>
          <w:top w:val="single" w:sz="4" w:space="1" w:color="auto"/>
          <w:left w:val="single" w:sz="4" w:space="4" w:color="auto"/>
          <w:bottom w:val="single" w:sz="4" w:space="1" w:color="auto"/>
          <w:right w:val="single" w:sz="4" w:space="4" w:color="auto"/>
        </w:pBdr>
        <w:ind w:left="-4536"/>
        <w:textAlignment w:val="top"/>
        <w:rPr>
          <w:rFonts w:cs="Tahoma"/>
          <w:color w:val="000000" w:themeColor="text1"/>
        </w:rPr>
      </w:pPr>
      <w:r w:rsidRPr="00D64505">
        <w:rPr>
          <w:rFonts w:eastAsia="Times New Roman" w:cs="Tahoma"/>
          <w:color w:val="000000" w:themeColor="text1"/>
        </w:rPr>
        <w:t xml:space="preserve">ROAE = rate of return on equity, P = profit after taxation, CR = average amount of capital and reserves, S = total regular income, A = average assets, RWA = risk-weighted assets, PM = </w:t>
      </w:r>
      <w:r w:rsidRPr="00D64505">
        <w:rPr>
          <w:rFonts w:eastAsia="Times New Roman" w:cs="Tahoma"/>
          <w:color w:val="000000" w:themeColor="text1"/>
        </w:rPr>
        <w:lastRenderedPageBreak/>
        <w:t>profit margin, RWAturnover = risk-weighted assets turnover, L = debt ratio (leverage), RBAratio = indicator of the level of risk assumed</w:t>
      </w:r>
      <w:r w:rsidRPr="00D64505">
        <w:rPr>
          <w:rFonts w:cs="Tahoma"/>
          <w:color w:val="000000" w:themeColor="text1"/>
        </w:rPr>
        <w:t>.</w:t>
      </w:r>
    </w:p>
    <w:p w:rsidR="00795205" w:rsidRPr="00274616" w:rsidRDefault="00795205" w:rsidP="00795205">
      <w:pPr>
        <w:pBdr>
          <w:top w:val="single" w:sz="4" w:space="1" w:color="auto"/>
          <w:left w:val="single" w:sz="4" w:space="4" w:color="auto"/>
          <w:bottom w:val="single" w:sz="4" w:space="1" w:color="auto"/>
          <w:right w:val="single" w:sz="4" w:space="4" w:color="auto"/>
        </w:pBdr>
        <w:ind w:left="-4536"/>
        <w:textAlignment w:val="top"/>
        <w:rPr>
          <w:rFonts w:cs="Tahoma"/>
          <w:color w:val="000000" w:themeColor="text1"/>
          <w:sz w:val="20"/>
          <w:szCs w:val="20"/>
        </w:rPr>
      </w:pPr>
    </w:p>
    <w:p w:rsidR="00795205" w:rsidRPr="00274616" w:rsidRDefault="00795205" w:rsidP="00795205">
      <w:pPr>
        <w:pStyle w:val="Caption"/>
        <w:pBdr>
          <w:top w:val="single" w:sz="4" w:space="1" w:color="auto"/>
          <w:left w:val="single" w:sz="4" w:space="4" w:color="auto"/>
          <w:bottom w:val="single" w:sz="4" w:space="1" w:color="auto"/>
          <w:right w:val="single" w:sz="4" w:space="4" w:color="auto"/>
        </w:pBdr>
        <w:ind w:left="-4536"/>
        <w:rPr>
          <w:rFonts w:cs="Tahoma"/>
          <w:szCs w:val="20"/>
        </w:rPr>
      </w:pPr>
      <w:r w:rsidRPr="00274616">
        <w:rPr>
          <w:rFonts w:cs="Tahoma"/>
          <w:szCs w:val="20"/>
        </w:rPr>
        <w:t xml:space="preserve">Table </w:t>
      </w:r>
      <w:r w:rsidR="00803610" w:rsidRPr="00274616">
        <w:rPr>
          <w:rFonts w:cs="Tahoma"/>
          <w:szCs w:val="20"/>
        </w:rPr>
        <w:fldChar w:fldCharType="begin"/>
      </w:r>
      <w:r w:rsidRPr="00274616">
        <w:rPr>
          <w:rFonts w:cs="Tahoma"/>
          <w:szCs w:val="20"/>
        </w:rPr>
        <w:instrText xml:space="preserve"> SEQ Табела_бр. \* ARABIC </w:instrText>
      </w:r>
      <w:r w:rsidR="00803610" w:rsidRPr="00274616">
        <w:rPr>
          <w:rFonts w:cs="Tahoma"/>
          <w:szCs w:val="20"/>
        </w:rPr>
        <w:fldChar w:fldCharType="separate"/>
      </w:r>
      <w:r w:rsidR="00D64505">
        <w:rPr>
          <w:rFonts w:cs="Tahoma"/>
          <w:noProof/>
          <w:szCs w:val="20"/>
        </w:rPr>
        <w:t>8</w:t>
      </w:r>
      <w:r w:rsidR="00803610" w:rsidRPr="00274616">
        <w:rPr>
          <w:rFonts w:cs="Tahoma"/>
          <w:szCs w:val="20"/>
        </w:rPr>
        <w:fldChar w:fldCharType="end"/>
      </w:r>
    </w:p>
    <w:p w:rsidR="00795205" w:rsidRPr="00274616" w:rsidRDefault="00795205" w:rsidP="00795205">
      <w:pPr>
        <w:pStyle w:val="Caption"/>
        <w:pBdr>
          <w:top w:val="single" w:sz="4" w:space="1" w:color="auto"/>
          <w:left w:val="single" w:sz="4" w:space="4" w:color="auto"/>
          <w:bottom w:val="single" w:sz="4" w:space="1" w:color="auto"/>
          <w:right w:val="single" w:sz="4" w:space="4" w:color="auto"/>
        </w:pBdr>
        <w:ind w:left="-4536"/>
        <w:rPr>
          <w:rFonts w:cs="Tahoma"/>
          <w:szCs w:val="20"/>
        </w:rPr>
      </w:pPr>
      <w:r w:rsidRPr="00274616">
        <w:rPr>
          <w:rFonts w:cs="Tahoma"/>
          <w:szCs w:val="20"/>
        </w:rPr>
        <w:t>Breakdown (decomposition) of the rate of return on equity - ROAE</w:t>
      </w:r>
    </w:p>
    <w:p w:rsidR="00795205" w:rsidRPr="00274616" w:rsidRDefault="00795205" w:rsidP="00795205">
      <w:pPr>
        <w:pBdr>
          <w:top w:val="single" w:sz="4" w:space="1" w:color="auto"/>
          <w:left w:val="single" w:sz="4" w:space="4" w:color="auto"/>
          <w:bottom w:val="single" w:sz="4" w:space="1" w:color="auto"/>
          <w:right w:val="single" w:sz="4" w:space="4" w:color="auto"/>
        </w:pBdr>
        <w:ind w:left="-4536"/>
        <w:textAlignment w:val="top"/>
        <w:rPr>
          <w:rFonts w:cs="Tahoma"/>
          <w:color w:val="000000" w:themeColor="text1"/>
          <w:sz w:val="20"/>
          <w:szCs w:val="20"/>
        </w:rPr>
      </w:pPr>
      <w:r w:rsidRPr="003572BF">
        <w:rPr>
          <w:noProof/>
        </w:rPr>
        <w:drawing>
          <wp:inline distT="0" distB="0" distL="0" distR="0">
            <wp:extent cx="5839816" cy="9031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4940" cy="903974"/>
                    </a:xfrm>
                    <a:prstGeom prst="rect">
                      <a:avLst/>
                    </a:prstGeom>
                    <a:noFill/>
                    <a:ln>
                      <a:noFill/>
                    </a:ln>
                  </pic:spPr>
                </pic:pic>
              </a:graphicData>
            </a:graphic>
          </wp:inline>
        </w:drawing>
      </w:r>
    </w:p>
    <w:p w:rsidR="00795205" w:rsidRPr="00274616" w:rsidRDefault="00795205" w:rsidP="00795205">
      <w:pPr>
        <w:pBdr>
          <w:top w:val="single" w:sz="4" w:space="1" w:color="auto"/>
          <w:left w:val="single" w:sz="4" w:space="4" w:color="auto"/>
          <w:bottom w:val="single" w:sz="4" w:space="1" w:color="auto"/>
          <w:right w:val="single" w:sz="4" w:space="4" w:color="auto"/>
        </w:pBdr>
        <w:ind w:left="-4536"/>
        <w:textAlignment w:val="top"/>
        <w:rPr>
          <w:rFonts w:cs="Tahoma"/>
          <w:color w:val="000000" w:themeColor="text1"/>
          <w:sz w:val="20"/>
          <w:szCs w:val="20"/>
        </w:rPr>
      </w:pPr>
    </w:p>
    <w:p w:rsidR="004F7FD7" w:rsidRPr="004F7FD7" w:rsidRDefault="00795205" w:rsidP="004F7FD7">
      <w:pPr>
        <w:pBdr>
          <w:top w:val="single" w:sz="4" w:space="1" w:color="auto"/>
          <w:left w:val="single" w:sz="4" w:space="4" w:color="auto"/>
          <w:bottom w:val="single" w:sz="4" w:space="1" w:color="auto"/>
          <w:right w:val="single" w:sz="4" w:space="4" w:color="auto"/>
        </w:pBdr>
        <w:ind w:left="-4536"/>
        <w:textAlignment w:val="top"/>
        <w:rPr>
          <w:rStyle w:val="hps"/>
          <w:rFonts w:cs="Tahoma"/>
        </w:rPr>
      </w:pPr>
      <w:r w:rsidRPr="004F7FD7">
        <w:rPr>
          <w:rFonts w:eastAsia="Times New Roman" w:cs="Tahoma"/>
          <w:color w:val="000000" w:themeColor="text1"/>
        </w:rPr>
        <w:t>The higher value of the rate of return on equity generally shows higher profitability and efficiency while generating profits from each unit of capital. However, this rate should be interpreted with great caution, especially considering the fact that its changes are sometimes associated with not only profits, but also other factors such as debt, the turnover of risk-weighted assets or the levels of assumed risk. In such a case, the increase in the rate of return on equity does not necessarily imply improvement of the financial strength of the banking system. Thus, the increase in the rate of return on equity that is due to the positive uptrend in the profit margin (greater difference between income and expenditures) or the turnover of risk-weighted assets (higher efficiency), is an indicator of increased stability of the bank. On the other hand, the increase in the rate of return on equity as a result of the increase in the debt ratio (increased debt and/or decreased capital and, consequently, higher bank exposure to risk) or of the increased levels of assumed risk (taking high-risk activities) means weakening the financial strength of banks</w:t>
      </w:r>
      <w:r w:rsidRPr="004F7FD7">
        <w:rPr>
          <w:rStyle w:val="hps"/>
          <w:rFonts w:cs="Tahoma"/>
        </w:rPr>
        <w:t xml:space="preserve">. </w:t>
      </w:r>
    </w:p>
    <w:p w:rsidR="004F7FD7" w:rsidRPr="004F7FD7" w:rsidRDefault="00803610" w:rsidP="004F7FD7">
      <w:pPr>
        <w:pBdr>
          <w:top w:val="single" w:sz="4" w:space="1" w:color="auto"/>
          <w:left w:val="single" w:sz="4" w:space="4" w:color="auto"/>
          <w:bottom w:val="single" w:sz="4" w:space="1" w:color="auto"/>
          <w:right w:val="single" w:sz="4" w:space="4" w:color="auto"/>
        </w:pBdr>
        <w:ind w:left="-4536"/>
        <w:textAlignment w:val="top"/>
        <w:rPr>
          <w:rFonts w:cs="Tahoma"/>
        </w:rPr>
      </w:pPr>
      <w:r w:rsidRPr="00803610">
        <w:rPr>
          <w:rFonts w:cs="Tahoma"/>
          <w:noProof/>
          <w:sz w:val="20"/>
          <w:szCs w:val="20"/>
        </w:rPr>
        <w:pict>
          <v:shape id="_x0000_s1271" type="#_x0000_t202" style="position:absolute;left:0;text-align:left;margin-left:-227.25pt;margin-top:330.15pt;width:219.95pt;height:213.75pt;z-index:25179136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" stroked="f">
            <v:textbox style="mso-next-textbox:#_x0000_s1271">
              <w:txbxContent>
                <w:p w:rsidR="004F7FD7" w:rsidRPr="00B6232B" w:rsidRDefault="004F7FD7" w:rsidP="004F7FD7">
                  <w:pPr>
                    <w:pStyle w:val="Caption"/>
                    <w:rPr>
                      <w:rFonts w:cs="Tahoma"/>
                      <w:b w:val="0"/>
                      <w:lang w:val="mk-MK"/>
                    </w:rPr>
                  </w:pPr>
                  <w:r>
                    <w:t xml:space="preserve">Chart </w:t>
                  </w:r>
                  <w:fldSimple w:instr=" SEQ Графикон_бр. \* ARABIC ">
                    <w:r w:rsidR="00E30402">
                      <w:rPr>
                        <w:noProof/>
                      </w:rPr>
                      <w:t>119</w:t>
                    </w:r>
                  </w:fldSimple>
                  <w:r w:rsidRPr="00E8302F">
                    <w:rPr>
                      <w:rFonts w:cs="Tahoma"/>
                      <w:lang w:val="mk-MK"/>
                    </w:rPr>
                    <w:t xml:space="preserve"> </w:t>
                  </w:r>
                </w:p>
                <w:p w:rsidR="00280598" w:rsidRPr="00D64505" w:rsidRDefault="00280598" w:rsidP="00795205">
                  <w:pPr>
                    <w:tabs>
                      <w:tab w:val="left" w:pos="90"/>
                    </w:tabs>
                    <w:rPr>
                      <w:rFonts w:cs="Tahoma"/>
                      <w:b/>
                      <w:bCs/>
                      <w:sz w:val="20"/>
                      <w:szCs w:val="20"/>
                    </w:rPr>
                  </w:pPr>
                  <w:r w:rsidRPr="00D64505">
                    <w:rPr>
                      <w:rFonts w:cs="Tahoma"/>
                      <w:b/>
                      <w:bCs/>
                      <w:sz w:val="20"/>
                      <w:szCs w:val="20"/>
                    </w:rPr>
                    <w:t xml:space="preserve">Return on assets and return on equity, by separate countries  </w:t>
                  </w:r>
                </w:p>
                <w:p w:rsidR="00280598" w:rsidRDefault="00280598" w:rsidP="00795205">
                  <w:pPr>
                    <w:tabs>
                      <w:tab w:val="left" w:pos="90"/>
                    </w:tabs>
                    <w:jc w:val="left"/>
                    <w:rPr>
                      <w:sz w:val="18"/>
                      <w:szCs w:val="18"/>
                    </w:rPr>
                  </w:pPr>
                  <w:r>
                    <w:rPr>
                      <w:rFonts w:cs="Tahoma"/>
                      <w:color w:val="000000"/>
                      <w:sz w:val="18"/>
                      <w:szCs w:val="18"/>
                      <w:lang w:eastAsia="mk-MK"/>
                    </w:rPr>
                    <w:t>in %</w:t>
                  </w:r>
                  <w:r w:rsidRPr="00EB1CD2">
                    <w:rPr>
                      <w:rFonts w:cs="Tahoma"/>
                      <w:color w:val="000000"/>
                      <w:sz w:val="18"/>
                      <w:szCs w:val="18"/>
                      <w:lang w:eastAsia="mk-MK"/>
                    </w:rPr>
                    <w:t xml:space="preserve"> </w:t>
                  </w:r>
                  <w:r w:rsidRPr="00EB1CD2">
                    <w:rPr>
                      <w:sz w:val="18"/>
                      <w:szCs w:val="18"/>
                    </w:rPr>
                    <w:t xml:space="preserve"> </w:t>
                  </w:r>
                </w:p>
                <w:p w:rsidR="00280598" w:rsidRPr="00EB1CD2" w:rsidRDefault="00280598" w:rsidP="00795205">
                  <w:pPr>
                    <w:tabs>
                      <w:tab w:val="left" w:pos="90"/>
                    </w:tabs>
                    <w:jc w:val="left"/>
                    <w:rPr>
                      <w:sz w:val="18"/>
                      <w:szCs w:val="18"/>
                    </w:rPr>
                  </w:pPr>
                  <w:r w:rsidRPr="00C221E4">
                    <w:rPr>
                      <w:noProof/>
                    </w:rPr>
                    <w:drawing>
                      <wp:inline distT="0" distB="0" distL="0" distR="0">
                        <wp:extent cx="2543175" cy="1819275"/>
                        <wp:effectExtent l="1905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0" cy="1819729"/>
                                </a:xfrm>
                                <a:prstGeom prst="rect">
                                  <a:avLst/>
                                </a:prstGeom>
                                <a:noFill/>
                                <a:ln>
                                  <a:noFill/>
                                </a:ln>
                              </pic:spPr>
                            </pic:pic>
                          </a:graphicData>
                        </a:graphic>
                      </wp:inline>
                    </w:drawing>
                  </w:r>
                </w:p>
                <w:p w:rsidR="00280598" w:rsidRPr="003572BF" w:rsidRDefault="00280598" w:rsidP="00795205">
                  <w:pPr>
                    <w:tabs>
                      <w:tab w:val="left" w:pos="90"/>
                    </w:tabs>
                    <w:rPr>
                      <w:rFonts w:cs="Tahoma"/>
                      <w:sz w:val="18"/>
                      <w:szCs w:val="18"/>
                    </w:rPr>
                  </w:pPr>
                  <w:r w:rsidRPr="003572BF">
                    <w:rPr>
                      <w:rFonts w:cs="Tahoma"/>
                      <w:sz w:val="18"/>
                      <w:szCs w:val="18"/>
                    </w:rPr>
                    <w:t>Source: NBRM, based on data submitted by banks.</w:t>
                  </w:r>
                </w:p>
                <w:p w:rsidR="00280598" w:rsidRDefault="00280598" w:rsidP="00795205">
                  <w:pPr>
                    <w:pStyle w:val="Caption"/>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Default="00280598" w:rsidP="00795205">
                  <w:pPr>
                    <w:tabs>
                      <w:tab w:val="left" w:pos="90"/>
                    </w:tabs>
                    <w:rPr>
                      <w:lang w:val="mk-MK"/>
                    </w:rPr>
                  </w:pPr>
                </w:p>
                <w:p w:rsidR="00280598" w:rsidRPr="008476D5" w:rsidRDefault="00280598" w:rsidP="00795205">
                  <w:pPr>
                    <w:tabs>
                      <w:tab w:val="left" w:pos="90"/>
                    </w:tabs>
                    <w:rPr>
                      <w:sz w:val="20"/>
                      <w:szCs w:val="20"/>
                      <w:lang w:val="mk-MK"/>
                    </w:rPr>
                  </w:pPr>
                  <w:r w:rsidRPr="008476D5">
                    <w:rPr>
                      <w:sz w:val="20"/>
                      <w:szCs w:val="20"/>
                      <w:lang w:val="mk-MK"/>
                    </w:rPr>
                    <w:t>Извор:</w:t>
                  </w:r>
                </w:p>
              </w:txbxContent>
            </v:textbox>
            <w10:wrap type="square" anchorx="margin" anchory="margin"/>
          </v:shape>
        </w:pict>
      </w:r>
    </w:p>
    <w:p w:rsidR="00E30402" w:rsidRDefault="00795205" w:rsidP="00E30402">
      <w:pPr>
        <w:pBdr>
          <w:top w:val="single" w:sz="4" w:space="1" w:color="auto"/>
          <w:left w:val="single" w:sz="4" w:space="4" w:color="auto"/>
          <w:bottom w:val="single" w:sz="4" w:space="1" w:color="auto"/>
          <w:right w:val="single" w:sz="4" w:space="4" w:color="auto"/>
        </w:pBdr>
        <w:ind w:left="-4536"/>
        <w:textAlignment w:val="top"/>
        <w:rPr>
          <w:rFonts w:cs="Tahoma"/>
        </w:rPr>
      </w:pPr>
      <w:r w:rsidRPr="004F7FD7">
        <w:rPr>
          <w:rFonts w:cs="Tahoma"/>
        </w:rPr>
        <w:t>The rate of return on equity in the banking system of the Republic of Macedonia in the past few years, has been largely determined by the movements of the profit margin. After the fall of the profit margin, and hence halving the rate of return on equity in 2011, there was a period of gradual increase of this ratio. Thus, in 2013, the ratio of return on equity greatly increased. The decomposition of this ratio shows that the increased profit margin has the largest contribution to its increase (4.2 percentage points). The reduced overall level of risk of the banks (by 1.3 percentage points) had an additional positive effect on the level of ROAE indicator, while the lower debt ratio had a minimal impact.</w:t>
      </w:r>
    </w:p>
    <w:p w:rsidR="00E30402" w:rsidRPr="004F7FD7" w:rsidRDefault="00E30402" w:rsidP="00E30402">
      <w:pPr>
        <w:pBdr>
          <w:top w:val="single" w:sz="4" w:space="1" w:color="auto"/>
          <w:left w:val="single" w:sz="4" w:space="4" w:color="auto"/>
          <w:bottom w:val="single" w:sz="4" w:space="1" w:color="auto"/>
          <w:right w:val="single" w:sz="4" w:space="4" w:color="auto"/>
        </w:pBdr>
        <w:ind w:left="-4536"/>
        <w:textAlignment w:val="top"/>
        <w:rPr>
          <w:rFonts w:cs="Tahoma"/>
        </w:rPr>
      </w:pPr>
    </w:p>
    <w:p w:rsidR="00795205" w:rsidRPr="00392EE2" w:rsidRDefault="00795205" w:rsidP="00795205">
      <w:pPr>
        <w:ind w:left="-4536" w:firstLine="709"/>
        <w:rPr>
          <w:rFonts w:cs="Tahoma"/>
          <w:bCs/>
        </w:rPr>
      </w:pPr>
    </w:p>
    <w:p w:rsidR="00795205" w:rsidRPr="00392EE2" w:rsidRDefault="00795205" w:rsidP="00795205">
      <w:pPr>
        <w:ind w:left="-4536" w:firstLine="709"/>
        <w:rPr>
          <w:rFonts w:cs="Tahoma"/>
          <w:bCs/>
        </w:rPr>
      </w:pPr>
    </w:p>
    <w:p w:rsidR="00795205" w:rsidRPr="00392EE2" w:rsidRDefault="00795205" w:rsidP="00795205">
      <w:pPr>
        <w:rPr>
          <w:rFonts w:cs="Tahoma"/>
          <w:bCs/>
        </w:rPr>
      </w:pPr>
    </w:p>
    <w:p w:rsidR="00E91267" w:rsidRPr="0077078B" w:rsidRDefault="00E91267" w:rsidP="00E91267">
      <w:pPr>
        <w:rPr>
          <w:rFonts w:cs="Tahoma"/>
          <w:bCs/>
        </w:rPr>
      </w:pPr>
    </w:p>
    <w:p w:rsidR="00E91267" w:rsidRPr="00BF7C7F" w:rsidRDefault="00E91267" w:rsidP="007E3713">
      <w:pPr>
        <w:ind w:firstLine="709"/>
        <w:rPr>
          <w:rFonts w:cs="Tahoma"/>
          <w:bCs/>
          <w:sz w:val="24"/>
          <w:szCs w:val="24"/>
        </w:rPr>
      </w:pPr>
    </w:p>
    <w:p w:rsidR="009766A6" w:rsidRDefault="009766A6" w:rsidP="00C60FE4">
      <w:pPr>
        <w:rPr>
          <w:rFonts w:eastAsiaTheme="majorEastAsia" w:cstheme="majorBidi"/>
          <w:iCs/>
        </w:rPr>
      </w:pPr>
    </w:p>
    <w:p w:rsidR="00C34765" w:rsidRDefault="00C34765" w:rsidP="00C60FE4">
      <w:pPr>
        <w:rPr>
          <w:rFonts w:eastAsiaTheme="majorEastAsia" w:cstheme="majorBidi"/>
          <w:iCs/>
        </w:rPr>
      </w:pPr>
    </w:p>
    <w:p w:rsidR="00C34765" w:rsidRDefault="00C34765" w:rsidP="00C60FE4">
      <w:pPr>
        <w:rPr>
          <w:rFonts w:eastAsiaTheme="majorEastAsia" w:cstheme="majorBidi"/>
          <w:iCs/>
        </w:rPr>
      </w:pPr>
    </w:p>
    <w:p w:rsidR="00C34765" w:rsidRDefault="00C34765" w:rsidP="00C60FE4">
      <w:pPr>
        <w:rPr>
          <w:rFonts w:eastAsiaTheme="majorEastAsia" w:cstheme="majorBidi"/>
          <w:iCs/>
        </w:rPr>
      </w:pPr>
    </w:p>
    <w:p w:rsidR="00C34765" w:rsidRDefault="00C34765" w:rsidP="00C60FE4">
      <w:pPr>
        <w:rPr>
          <w:rFonts w:eastAsiaTheme="majorEastAsia" w:cstheme="majorBidi"/>
          <w:iCs/>
        </w:rPr>
      </w:pPr>
    </w:p>
    <w:p w:rsidR="00C34765" w:rsidRDefault="00C34765" w:rsidP="00C60FE4">
      <w:pPr>
        <w:rPr>
          <w:rFonts w:eastAsiaTheme="majorEastAsia" w:cstheme="majorBidi"/>
          <w:iCs/>
        </w:rPr>
      </w:pPr>
    </w:p>
    <w:p w:rsidR="00C34765" w:rsidRDefault="00C34765" w:rsidP="00C60FE4">
      <w:pPr>
        <w:rPr>
          <w:rFonts w:eastAsiaTheme="majorEastAsia" w:cstheme="majorBidi"/>
          <w:iCs/>
        </w:rPr>
      </w:pPr>
    </w:p>
    <w:p w:rsidR="00C34765" w:rsidRDefault="00C34765" w:rsidP="00C60FE4">
      <w:pPr>
        <w:rPr>
          <w:rFonts w:eastAsiaTheme="majorEastAsia" w:cstheme="majorBidi"/>
          <w:iCs/>
        </w:rPr>
      </w:pPr>
    </w:p>
    <w:p w:rsidR="00C34765" w:rsidRDefault="00C34765" w:rsidP="00C60FE4">
      <w:pPr>
        <w:rPr>
          <w:rFonts w:eastAsiaTheme="majorEastAsia" w:cstheme="majorBidi"/>
          <w:iCs/>
        </w:rPr>
      </w:pPr>
    </w:p>
    <w:p w:rsidR="00C34765" w:rsidRDefault="00C34765" w:rsidP="00C60FE4">
      <w:pPr>
        <w:rPr>
          <w:rFonts w:eastAsiaTheme="majorEastAsia" w:cstheme="majorBidi"/>
          <w:iCs/>
        </w:rPr>
      </w:pPr>
    </w:p>
    <w:p w:rsidR="00C34765" w:rsidRDefault="00C34765" w:rsidP="00C60FE4">
      <w:pPr>
        <w:rPr>
          <w:rFonts w:eastAsiaTheme="majorEastAsia" w:cstheme="majorBidi"/>
          <w:iCs/>
        </w:rPr>
      </w:pPr>
    </w:p>
    <w:p w:rsidR="00C34765" w:rsidRDefault="00C34765" w:rsidP="00C60FE4">
      <w:pPr>
        <w:rPr>
          <w:rFonts w:eastAsiaTheme="majorEastAsia" w:cstheme="majorBidi"/>
          <w:iCs/>
        </w:rPr>
      </w:pPr>
    </w:p>
    <w:p w:rsidR="00C34765" w:rsidRDefault="00C34765" w:rsidP="00C60FE4">
      <w:pPr>
        <w:rPr>
          <w:rFonts w:eastAsiaTheme="majorEastAsia" w:cstheme="majorBidi"/>
          <w:iCs/>
        </w:rPr>
      </w:pPr>
    </w:p>
    <w:p w:rsidR="00C34765" w:rsidRDefault="00C34765" w:rsidP="00C60FE4">
      <w:pPr>
        <w:rPr>
          <w:rFonts w:eastAsiaTheme="majorEastAsia" w:cstheme="majorBidi"/>
          <w:iCs/>
        </w:rPr>
      </w:pPr>
    </w:p>
    <w:p w:rsidR="00877709" w:rsidRDefault="00877709" w:rsidP="00C60FE4"/>
    <w:p w:rsidR="00E30402" w:rsidRPr="00877709" w:rsidRDefault="00E30402" w:rsidP="00C60FE4"/>
    <w:p w:rsidR="00BC6C5D" w:rsidRPr="007C1FCF" w:rsidRDefault="007C1FCF" w:rsidP="00200B5C">
      <w:pPr>
        <w:pStyle w:val="Heading1"/>
        <w:numPr>
          <w:ilvl w:val="0"/>
          <w:numId w:val="0"/>
        </w:numPr>
        <w:ind w:left="-4536"/>
        <w:jc w:val="center"/>
      </w:pPr>
      <w:bookmarkStart w:id="162" w:name="_Toc393283614"/>
      <w:r w:rsidRPr="007C1FCF">
        <w:t>ANNEX</w:t>
      </w:r>
      <w:bookmarkEnd w:id="162"/>
    </w:p>
    <w:sectPr w:rsidR="00BC6C5D" w:rsidRPr="007C1FCF" w:rsidSect="008476D5">
      <w:pgSz w:w="12240" w:h="15840" w:code="1"/>
      <w:pgMar w:top="1440" w:right="1440" w:bottom="1440" w:left="5940" w:header="720" w:footer="720" w:gutter="0"/>
      <w:cols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ACC" w:rsidRDefault="00D94ACC" w:rsidP="00EC4F52">
      <w:r>
        <w:separator/>
      </w:r>
    </w:p>
  </w:endnote>
  <w:endnote w:type="continuationSeparator" w:id="0">
    <w:p w:rsidR="00D94ACC" w:rsidRDefault="00D94ACC" w:rsidP="00EC4F52">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Tahoma,Bold">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03626"/>
      <w:docPartObj>
        <w:docPartGallery w:val="Page Numbers (Bottom of Page)"/>
        <w:docPartUnique/>
      </w:docPartObj>
    </w:sdtPr>
    <w:sdtContent>
      <w:p w:rsidR="00280598" w:rsidRDefault="00803610" w:rsidP="007562D9">
        <w:pPr>
          <w:pStyle w:val="Footer"/>
          <w:ind w:left="-4320"/>
          <w:jc w:val="center"/>
        </w:pPr>
        <w:fldSimple w:instr=" PAGE   \* MERGEFORMAT ">
          <w:r w:rsidR="002278AC">
            <w:rPr>
              <w:noProof/>
            </w:rPr>
            <w:t>2</w:t>
          </w:r>
        </w:fldSimple>
      </w:p>
    </w:sdtContent>
  </w:sdt>
  <w:p w:rsidR="00280598" w:rsidRDefault="0028059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6476"/>
      <w:docPartObj>
        <w:docPartGallery w:val="Page Numbers (Bottom of Page)"/>
        <w:docPartUnique/>
      </w:docPartObj>
    </w:sdtPr>
    <w:sdtContent>
      <w:p w:rsidR="00280598" w:rsidRDefault="00803610">
        <w:pPr>
          <w:pStyle w:val="Footer"/>
        </w:pPr>
        <w:fldSimple w:instr=" PAGE   \* MERGEFORMAT ">
          <w:r w:rsidR="002278AC">
            <w:rPr>
              <w:noProof/>
            </w:rPr>
            <w:t>3</w:t>
          </w:r>
        </w:fldSimple>
      </w:p>
    </w:sdtContent>
  </w:sdt>
  <w:p w:rsidR="00280598" w:rsidRDefault="002805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ACC" w:rsidRDefault="00D94ACC" w:rsidP="00EC4F52">
      <w:r>
        <w:separator/>
      </w:r>
    </w:p>
  </w:footnote>
  <w:footnote w:type="continuationSeparator" w:id="0">
    <w:p w:rsidR="00D94ACC" w:rsidRDefault="00D94ACC" w:rsidP="00EC4F52">
      <w:r>
        <w:continuationSeparator/>
      </w:r>
    </w:p>
  </w:footnote>
  <w:footnote w:id="1">
    <w:p w:rsidR="00280598" w:rsidRPr="00736514" w:rsidRDefault="00280598" w:rsidP="002A11AC">
      <w:pPr>
        <w:pStyle w:val="FootnoteText"/>
        <w:ind w:left="-4536"/>
        <w:rPr>
          <w:rFonts w:cs="Tahoma"/>
          <w:sz w:val="18"/>
          <w:szCs w:val="18"/>
        </w:rPr>
      </w:pPr>
      <w:r w:rsidRPr="00736514">
        <w:rPr>
          <w:rStyle w:val="FootnoteReference"/>
          <w:rFonts w:cs="Tahoma"/>
          <w:sz w:val="18"/>
          <w:szCs w:val="18"/>
        </w:rPr>
        <w:footnoteRef/>
      </w:r>
      <w:r w:rsidRPr="00736514">
        <w:rPr>
          <w:rFonts w:cs="Tahoma"/>
          <w:sz w:val="18"/>
          <w:szCs w:val="18"/>
        </w:rPr>
        <w:t xml:space="preserve"> The total credit exposure includes balance sheet (loans and deposits, financial leasing, payments made on the basis of given guarantees, letters of credit, warrants and other off-balance sheet positions, interest, fees and commissions, investment in securities and other financial instruments available for sale or held to maturity, etc.) and off-balance sheet claims (unused irrevocable credit lines, unused irrevocable credits based on overdrafts and on credit cards, letters of credit, guarantees and other contingent liabilities for the bank), which exp</w:t>
      </w:r>
      <w:r>
        <w:rPr>
          <w:rFonts w:cs="Tahoma"/>
          <w:sz w:val="18"/>
          <w:szCs w:val="18"/>
        </w:rPr>
        <w:t>ose the bank to a credit risk.</w:t>
      </w:r>
    </w:p>
  </w:footnote>
  <w:footnote w:id="2">
    <w:p w:rsidR="00280598" w:rsidRPr="00736514" w:rsidRDefault="00280598" w:rsidP="002A11AC">
      <w:pPr>
        <w:pStyle w:val="FootnoteText"/>
        <w:ind w:left="-4536"/>
        <w:rPr>
          <w:rFonts w:cs="Tahoma"/>
          <w:sz w:val="18"/>
          <w:szCs w:val="18"/>
        </w:rPr>
      </w:pPr>
      <w:r w:rsidRPr="00736514">
        <w:rPr>
          <w:rStyle w:val="FootnoteReference"/>
          <w:rFonts w:cs="Tahoma"/>
          <w:sz w:val="18"/>
          <w:szCs w:val="18"/>
        </w:rPr>
        <w:footnoteRef/>
      </w:r>
      <w:r w:rsidRPr="00736514">
        <w:rPr>
          <w:rFonts w:cs="Tahoma"/>
          <w:sz w:val="18"/>
          <w:szCs w:val="18"/>
        </w:rPr>
        <w:t xml:space="preserve"> Hereinafter: companies.</w:t>
      </w:r>
    </w:p>
  </w:footnote>
  <w:footnote w:id="3">
    <w:p w:rsidR="00280598" w:rsidRPr="00736514" w:rsidRDefault="00280598" w:rsidP="002A11AC">
      <w:pPr>
        <w:pStyle w:val="FootnoteText"/>
        <w:ind w:left="-4500"/>
        <w:rPr>
          <w:rFonts w:cs="Tahoma"/>
          <w:sz w:val="18"/>
          <w:szCs w:val="18"/>
        </w:rPr>
      </w:pPr>
      <w:r w:rsidRPr="00736514">
        <w:rPr>
          <w:rStyle w:val="FootnoteReference"/>
          <w:rFonts w:cs="Tahoma"/>
          <w:sz w:val="18"/>
          <w:szCs w:val="18"/>
        </w:rPr>
        <w:footnoteRef/>
      </w:r>
      <w:r w:rsidRPr="00736514">
        <w:rPr>
          <w:rFonts w:cs="Tahoma"/>
          <w:sz w:val="18"/>
          <w:szCs w:val="18"/>
        </w:rPr>
        <w:t xml:space="preserve"> According to the Decision, if the bank has made restructuring of a certain claim, it is required to classify that claim in risk category "C" (for at least six months) and during this period it may not generate income based on release of impairment that is not result of collection of the claim. If the claim already had a non-performing status prior to the restructuring, the bank will be obliged to set aside at least 30% impairment for the restructured claim for at least six months. These provisions encourage the banks to take </w:t>
      </w:r>
      <w:r w:rsidRPr="00736514">
        <w:rPr>
          <w:rFonts w:cs="Tahoma"/>
          <w:sz w:val="18"/>
          <w:szCs w:val="18"/>
          <w:u w:val="single"/>
        </w:rPr>
        <w:t>timely</w:t>
      </w:r>
      <w:r w:rsidRPr="00736514">
        <w:rPr>
          <w:rFonts w:cs="Tahoma"/>
          <w:sz w:val="18"/>
          <w:szCs w:val="18"/>
        </w:rPr>
        <w:t xml:space="preserve"> actions for restructuring of claims before they receive a non-performing status or before a higher percentage of impairment is set. In this case, the claim must be classified in risk category "C" (for at least six months), but it may have a performing status, for which at least 20% impairment will be allocated. Given that the restructured claim must be classified in risk category "C" for at least 6 months after the restructuring, it is long enough to assess whether the restructuring has given the expected effects on the financial standing of the customer or not, and to adequately allocate provisions. </w:t>
      </w:r>
    </w:p>
  </w:footnote>
  <w:footnote w:id="4">
    <w:p w:rsidR="00280598" w:rsidRPr="00736514" w:rsidRDefault="00280598" w:rsidP="002A11AC">
      <w:pPr>
        <w:pStyle w:val="FootnoteText"/>
        <w:ind w:left="-4536"/>
        <w:rPr>
          <w:rFonts w:cs="Tahoma"/>
          <w:sz w:val="18"/>
          <w:szCs w:val="18"/>
        </w:rPr>
      </w:pPr>
      <w:r w:rsidRPr="00736514">
        <w:rPr>
          <w:rStyle w:val="FootnoteReference"/>
          <w:rFonts w:cs="Tahoma"/>
          <w:sz w:val="18"/>
          <w:szCs w:val="18"/>
        </w:rPr>
        <w:footnoteRef/>
      </w:r>
      <w:r w:rsidRPr="00736514">
        <w:rPr>
          <w:rFonts w:cs="Tahoma"/>
          <w:sz w:val="18"/>
          <w:szCs w:val="18"/>
        </w:rPr>
        <w:t xml:space="preserve"> The analysis is based on the amount as of December 31, 2013, of those exposures that were restructured in 2011. This covers only the exposure that is restructured in 2011 and that as of December 31, 2013 has a performing or non-performing status, and does not cover the restructured exposure that is out of the portfolio due to recovery or write-off, which is in a small amount, considering that as of December 31, 2011, most of this exposure had residual maturity longer than 2 years.</w:t>
      </w:r>
    </w:p>
  </w:footnote>
  <w:footnote w:id="5">
    <w:p w:rsidR="00280598" w:rsidRPr="003B5E85" w:rsidRDefault="00280598" w:rsidP="002A11AC">
      <w:pPr>
        <w:pStyle w:val="FootnoteText"/>
        <w:ind w:left="-4536"/>
        <w:rPr>
          <w:rFonts w:cs="Tahoma"/>
          <w:sz w:val="18"/>
          <w:szCs w:val="18"/>
        </w:rPr>
      </w:pPr>
      <w:r w:rsidRPr="003B5E85">
        <w:rPr>
          <w:rStyle w:val="FootnoteReference"/>
          <w:rFonts w:cs="Tahoma"/>
          <w:sz w:val="18"/>
          <w:szCs w:val="18"/>
        </w:rPr>
        <w:footnoteRef/>
      </w:r>
      <w:r w:rsidRPr="003B5E85">
        <w:rPr>
          <w:rFonts w:cs="Tahoma"/>
          <w:sz w:val="18"/>
          <w:szCs w:val="18"/>
        </w:rPr>
        <w:t xml:space="preserve"> "Official Gazette of the Republic of Macedonia" No. 50/13 and 157/13.</w:t>
      </w:r>
    </w:p>
  </w:footnote>
  <w:footnote w:id="6">
    <w:p w:rsidR="00280598" w:rsidRPr="003B5E85" w:rsidRDefault="00280598" w:rsidP="002A11AC">
      <w:pPr>
        <w:pStyle w:val="FootnoteText"/>
        <w:ind w:left="-4536"/>
        <w:rPr>
          <w:rFonts w:cs="Tahoma"/>
          <w:sz w:val="18"/>
          <w:szCs w:val="18"/>
        </w:rPr>
      </w:pPr>
      <w:r w:rsidRPr="003B5E85">
        <w:rPr>
          <w:rStyle w:val="FootnoteReference"/>
          <w:rFonts w:cs="Tahoma"/>
          <w:sz w:val="18"/>
          <w:szCs w:val="18"/>
        </w:rPr>
        <w:footnoteRef/>
      </w:r>
      <w:r w:rsidRPr="003B5E85">
        <w:rPr>
          <w:rFonts w:cs="Tahoma"/>
          <w:sz w:val="18"/>
          <w:szCs w:val="18"/>
        </w:rPr>
        <w:t xml:space="preserve"> Exposures classified in risk category "C" may be excluded from the category of non-performing claims, only if the bank collects the full amount that is past due for more than 31 days, while exposures in risk category "D" and "E" may be excluded from the category of non-performing claims, if the prerequisites for reclassification to a higher risk category are met and the bank collects the full amount that is past due for more than 31 days.</w:t>
      </w:r>
    </w:p>
  </w:footnote>
  <w:footnote w:id="7">
    <w:p w:rsidR="00280598" w:rsidRPr="003B5E85" w:rsidRDefault="00280598" w:rsidP="002A11AC">
      <w:pPr>
        <w:pStyle w:val="FootnoteText"/>
        <w:ind w:left="-4536"/>
        <w:rPr>
          <w:rFonts w:cs="Tahoma"/>
          <w:sz w:val="18"/>
          <w:szCs w:val="18"/>
        </w:rPr>
      </w:pPr>
      <w:r w:rsidRPr="003B5E85">
        <w:rPr>
          <w:rStyle w:val="FootnoteReference"/>
          <w:rFonts w:cs="Tahoma"/>
          <w:sz w:val="18"/>
          <w:szCs w:val="18"/>
        </w:rPr>
        <w:footnoteRef/>
      </w:r>
      <w:r w:rsidRPr="003B5E85">
        <w:rPr>
          <w:rFonts w:cs="Tahoma"/>
          <w:sz w:val="18"/>
          <w:szCs w:val="18"/>
        </w:rPr>
        <w:t xml:space="preserve"> In February 2014 the rate of non-performing loans amounted to 11.6%.</w:t>
      </w:r>
    </w:p>
  </w:footnote>
  <w:footnote w:id="8">
    <w:p w:rsidR="00280598" w:rsidRPr="003B5E85" w:rsidRDefault="00280598" w:rsidP="002A11AC">
      <w:pPr>
        <w:pStyle w:val="FootnoteText"/>
        <w:ind w:left="-4536"/>
        <w:rPr>
          <w:rFonts w:cs="Tahoma"/>
          <w:sz w:val="18"/>
          <w:szCs w:val="18"/>
        </w:rPr>
      </w:pPr>
      <w:r w:rsidRPr="003B5E85">
        <w:rPr>
          <w:rStyle w:val="FootnoteReference"/>
          <w:rFonts w:cs="Tahoma"/>
          <w:sz w:val="18"/>
          <w:szCs w:val="18"/>
        </w:rPr>
        <w:footnoteRef/>
      </w:r>
      <w:r w:rsidRPr="003B5E85">
        <w:rPr>
          <w:rFonts w:cs="Tahoma"/>
          <w:sz w:val="18"/>
          <w:szCs w:val="18"/>
        </w:rPr>
        <w:t xml:space="preserve"> The average level of risk of these loans is 50.5%.</w:t>
      </w:r>
    </w:p>
  </w:footnote>
  <w:footnote w:id="9">
    <w:p w:rsidR="00280598" w:rsidRPr="003B5E85" w:rsidRDefault="00280598" w:rsidP="002A11AC">
      <w:pPr>
        <w:pStyle w:val="FootnoteText"/>
        <w:ind w:left="-4536"/>
        <w:rPr>
          <w:rFonts w:cs="Tahoma"/>
          <w:sz w:val="18"/>
          <w:szCs w:val="18"/>
        </w:rPr>
      </w:pPr>
      <w:r w:rsidRPr="003B5E85">
        <w:rPr>
          <w:rStyle w:val="FootnoteReference"/>
          <w:rFonts w:cs="Tahoma"/>
          <w:sz w:val="18"/>
          <w:szCs w:val="18"/>
        </w:rPr>
        <w:footnoteRef/>
      </w:r>
      <w:r w:rsidRPr="003B5E85">
        <w:rPr>
          <w:rFonts w:cs="Tahoma"/>
          <w:sz w:val="18"/>
          <w:szCs w:val="18"/>
        </w:rPr>
        <w:t xml:space="preserve"> According to the report on the effect of the application of the Decision on the credit risk management on the amount of impairment, impairment totaling Denar 28 million is released. Four banks had to increase the provisions, due to the application of the new Decision.</w:t>
      </w:r>
    </w:p>
  </w:footnote>
  <w:footnote w:id="10">
    <w:p w:rsidR="00280598" w:rsidRPr="003B5E85" w:rsidRDefault="00280598" w:rsidP="002A11AC">
      <w:pPr>
        <w:pStyle w:val="FootnoteText"/>
        <w:ind w:left="-4536"/>
        <w:rPr>
          <w:rFonts w:cs="Tahoma"/>
          <w:sz w:val="18"/>
          <w:szCs w:val="18"/>
        </w:rPr>
      </w:pPr>
      <w:r w:rsidRPr="003B5E85">
        <w:rPr>
          <w:rStyle w:val="FootnoteReference"/>
          <w:rFonts w:cs="Tahoma"/>
          <w:sz w:val="18"/>
          <w:szCs w:val="18"/>
        </w:rPr>
        <w:footnoteRef/>
      </w:r>
      <w:r w:rsidRPr="003B5E85">
        <w:rPr>
          <w:rFonts w:cs="Tahoma"/>
          <w:sz w:val="18"/>
          <w:szCs w:val="18"/>
        </w:rPr>
        <w:t xml:space="preserve"> The annual growth of non-performing loans in the risk category "C" equals 21,4%, while the established impairment of these loans grew by 38.1%.</w:t>
      </w:r>
    </w:p>
  </w:footnote>
  <w:footnote w:id="11">
    <w:p w:rsidR="00280598" w:rsidRPr="003B5E85" w:rsidRDefault="00280598" w:rsidP="002A11AC">
      <w:pPr>
        <w:pStyle w:val="FootnoteText"/>
        <w:ind w:left="-4536"/>
        <w:rPr>
          <w:rFonts w:cs="Tahoma"/>
          <w:sz w:val="18"/>
          <w:szCs w:val="18"/>
        </w:rPr>
      </w:pPr>
      <w:r w:rsidRPr="003B5E85">
        <w:rPr>
          <w:rStyle w:val="FootnoteReference"/>
          <w:rFonts w:cs="Tahoma"/>
          <w:sz w:val="18"/>
          <w:szCs w:val="18"/>
        </w:rPr>
        <w:footnoteRef/>
      </w:r>
      <w:r w:rsidRPr="003B5E85">
        <w:rPr>
          <w:rFonts w:cs="Tahoma"/>
          <w:sz w:val="18"/>
          <w:szCs w:val="18"/>
        </w:rPr>
        <w:t xml:space="preserve"> This category of risk includes credit exposures with a delay of 31 days, as well as credit exposures that are settled with a delay of more than 31 days, if the total amount that is not recovered for more than 31 days is less than Denar 500 and the delay is not longer than 60 days.</w:t>
      </w:r>
    </w:p>
  </w:footnote>
  <w:footnote w:id="12">
    <w:p w:rsidR="00280598" w:rsidRPr="004619D6" w:rsidRDefault="00280598" w:rsidP="002A11AC">
      <w:pPr>
        <w:pStyle w:val="FootnoteText"/>
        <w:ind w:left="-4536"/>
        <w:rPr>
          <w:rFonts w:cs="Tahoma"/>
          <w:sz w:val="18"/>
          <w:szCs w:val="18"/>
        </w:rPr>
      </w:pPr>
      <w:r w:rsidRPr="004619D6">
        <w:rPr>
          <w:rStyle w:val="FootnoteReference"/>
          <w:rFonts w:cs="Tahoma"/>
          <w:sz w:val="18"/>
          <w:szCs w:val="18"/>
        </w:rPr>
        <w:footnoteRef/>
      </w:r>
      <w:r w:rsidRPr="004619D6">
        <w:rPr>
          <w:rFonts w:cs="Tahoma"/>
          <w:sz w:val="18"/>
          <w:szCs w:val="18"/>
        </w:rPr>
        <w:t xml:space="preserve"> The shift of a credit exposure with a performing status in an exposure with a non-performing status is calculated as the ratio between the credit exposure which received non-performing status at the end of the quarter and the credit exposure at the beginning of the analyzed quarter. The analysis does not include the credit exposure which was closed due to restructuring and prolonging and the credit exposure approved during the quarter. </w:t>
      </w:r>
    </w:p>
  </w:footnote>
  <w:footnote w:id="13">
    <w:p w:rsidR="00280598" w:rsidRPr="004619D6" w:rsidRDefault="00280598" w:rsidP="002A11AC">
      <w:pPr>
        <w:pStyle w:val="FootnoteText"/>
        <w:ind w:left="-4536"/>
        <w:rPr>
          <w:rFonts w:cs="Tahoma"/>
          <w:sz w:val="18"/>
          <w:szCs w:val="18"/>
        </w:rPr>
      </w:pPr>
      <w:r w:rsidRPr="004619D6">
        <w:rPr>
          <w:rStyle w:val="FootnoteReference"/>
          <w:rFonts w:cs="Tahoma"/>
          <w:sz w:val="18"/>
          <w:szCs w:val="18"/>
        </w:rPr>
        <w:footnoteRef/>
      </w:r>
      <w:r w:rsidRPr="004619D6">
        <w:rPr>
          <w:rFonts w:cs="Tahoma"/>
          <w:sz w:val="18"/>
          <w:szCs w:val="18"/>
        </w:rPr>
        <w:t xml:space="preserve"> These exposures have the largest contribution to the growth of non-performing loans.</w:t>
      </w:r>
    </w:p>
  </w:footnote>
  <w:footnote w:id="14">
    <w:p w:rsidR="00280598" w:rsidRPr="004619D6" w:rsidRDefault="00280598" w:rsidP="002A11AC">
      <w:pPr>
        <w:pStyle w:val="FootnoteText"/>
        <w:ind w:left="-4536"/>
        <w:rPr>
          <w:rFonts w:cs="Tahoma"/>
          <w:sz w:val="18"/>
          <w:szCs w:val="18"/>
        </w:rPr>
      </w:pPr>
      <w:r w:rsidRPr="004619D6">
        <w:rPr>
          <w:rStyle w:val="FootnoteReference"/>
          <w:rFonts w:cs="Tahoma"/>
          <w:sz w:val="18"/>
          <w:szCs w:val="18"/>
        </w:rPr>
        <w:footnoteRef/>
      </w:r>
      <w:r w:rsidRPr="004619D6">
        <w:rPr>
          <w:rFonts w:cs="Tahoma"/>
          <w:sz w:val="18"/>
          <w:szCs w:val="18"/>
        </w:rPr>
        <w:t xml:space="preserve"> Source: data provided by the banks for the Credit Registry of the National Bank.</w:t>
      </w:r>
    </w:p>
  </w:footnote>
  <w:footnote w:id="15">
    <w:p w:rsidR="00280598" w:rsidRPr="004619D6" w:rsidRDefault="00280598" w:rsidP="002A11AC">
      <w:pPr>
        <w:pStyle w:val="FootnoteText"/>
        <w:ind w:left="-4536"/>
        <w:rPr>
          <w:rFonts w:cs="Tahoma"/>
          <w:sz w:val="18"/>
          <w:szCs w:val="18"/>
        </w:rPr>
      </w:pPr>
      <w:r w:rsidRPr="004619D6">
        <w:rPr>
          <w:rStyle w:val="FootnoteReference"/>
          <w:rFonts w:cs="Tahoma"/>
          <w:sz w:val="18"/>
          <w:szCs w:val="18"/>
        </w:rPr>
        <w:footnoteRef/>
      </w:r>
      <w:r w:rsidRPr="004619D6">
        <w:rPr>
          <w:rFonts w:cs="Tahoma"/>
          <w:sz w:val="18"/>
          <w:szCs w:val="18"/>
        </w:rPr>
        <w:t xml:space="preserve"> Most collections of this credit exposure are covered by the monthly income of borrowers.</w:t>
      </w:r>
    </w:p>
  </w:footnote>
  <w:footnote w:id="16">
    <w:p w:rsidR="00280598" w:rsidRPr="004619D6" w:rsidRDefault="00280598" w:rsidP="002A11AC">
      <w:pPr>
        <w:pStyle w:val="FootnoteText"/>
        <w:ind w:left="-4536"/>
        <w:rPr>
          <w:rFonts w:cs="Tahoma"/>
          <w:sz w:val="18"/>
          <w:szCs w:val="18"/>
        </w:rPr>
      </w:pPr>
      <w:r w:rsidRPr="004619D6">
        <w:rPr>
          <w:rStyle w:val="FootnoteReference"/>
          <w:rFonts w:cs="Tahoma"/>
          <w:sz w:val="18"/>
          <w:szCs w:val="18"/>
        </w:rPr>
        <w:footnoteRef/>
      </w:r>
      <w:r w:rsidRPr="004619D6">
        <w:rPr>
          <w:rFonts w:cs="Tahoma"/>
          <w:sz w:val="18"/>
          <w:szCs w:val="18"/>
        </w:rPr>
        <w:t xml:space="preserve"> Large exposure to a related person or persons is an exposure equal to or higher than 10% of bank's own funds.</w:t>
      </w:r>
    </w:p>
  </w:footnote>
  <w:footnote w:id="17">
    <w:p w:rsidR="00280598" w:rsidRPr="004619D6" w:rsidRDefault="00280598" w:rsidP="002A11AC">
      <w:pPr>
        <w:pStyle w:val="FootnoteText"/>
        <w:ind w:left="-4536"/>
        <w:rPr>
          <w:rFonts w:cs="Tahoma"/>
          <w:sz w:val="18"/>
          <w:szCs w:val="18"/>
        </w:rPr>
      </w:pPr>
      <w:r w:rsidRPr="004619D6">
        <w:rPr>
          <w:rStyle w:val="FootnoteReference"/>
          <w:rFonts w:cs="Tahoma"/>
          <w:sz w:val="18"/>
          <w:szCs w:val="18"/>
        </w:rPr>
        <w:footnoteRef/>
      </w:r>
      <w:r w:rsidRPr="004619D6">
        <w:rPr>
          <w:rFonts w:cs="Tahoma"/>
          <w:sz w:val="18"/>
          <w:szCs w:val="18"/>
        </w:rPr>
        <w:t xml:space="preserve"> The total amount of large exposures must not exceed eight times the amount of bank's own funds.</w:t>
      </w:r>
    </w:p>
  </w:footnote>
  <w:footnote w:id="18">
    <w:p w:rsidR="00280598" w:rsidRPr="004619D6" w:rsidRDefault="00280598" w:rsidP="002A11AC">
      <w:pPr>
        <w:pStyle w:val="FootnoteText"/>
        <w:ind w:left="-4536"/>
        <w:rPr>
          <w:rFonts w:cs="Tahoma"/>
          <w:sz w:val="18"/>
          <w:szCs w:val="18"/>
        </w:rPr>
      </w:pPr>
      <w:r w:rsidRPr="004619D6">
        <w:rPr>
          <w:rStyle w:val="FootnoteReference"/>
          <w:rFonts w:cs="Tahoma"/>
          <w:sz w:val="18"/>
          <w:szCs w:val="18"/>
        </w:rPr>
        <w:footnoteRef/>
      </w:r>
      <w:r w:rsidRPr="004619D6">
        <w:rPr>
          <w:rFonts w:cs="Tahoma"/>
          <w:sz w:val="18"/>
          <w:szCs w:val="18"/>
        </w:rPr>
        <w:t xml:space="preserve"> Six banks do not have large exposures to non-financial entities.</w:t>
      </w:r>
    </w:p>
  </w:footnote>
  <w:footnote w:id="19">
    <w:p w:rsidR="00280598" w:rsidRPr="004619D6" w:rsidRDefault="00280598" w:rsidP="002A11AC">
      <w:pPr>
        <w:pStyle w:val="FootnoteText"/>
        <w:ind w:left="-4536"/>
        <w:rPr>
          <w:rFonts w:cs="Tahoma"/>
          <w:sz w:val="18"/>
          <w:szCs w:val="18"/>
        </w:rPr>
      </w:pPr>
      <w:r w:rsidRPr="004619D6">
        <w:rPr>
          <w:rStyle w:val="FootnoteReference"/>
          <w:rFonts w:cs="Tahoma"/>
          <w:sz w:val="18"/>
          <w:szCs w:val="18"/>
        </w:rPr>
        <w:footnoteRef/>
      </w:r>
      <w:r w:rsidRPr="004619D6">
        <w:rPr>
          <w:rFonts w:cs="Tahoma"/>
          <w:sz w:val="18"/>
          <w:szCs w:val="18"/>
        </w:rPr>
        <w:t xml:space="preserve"> The level of concentration is considered to be acceptable when the index ranges from 1,000 to 1,800 units. </w:t>
      </w:r>
    </w:p>
  </w:footnote>
  <w:footnote w:id="20">
    <w:p w:rsidR="00280598" w:rsidRPr="004619D6" w:rsidRDefault="00280598" w:rsidP="002A11AC">
      <w:pPr>
        <w:pStyle w:val="FootnoteText"/>
        <w:ind w:left="-4536"/>
        <w:rPr>
          <w:rFonts w:cs="Tahoma"/>
          <w:sz w:val="18"/>
          <w:szCs w:val="18"/>
        </w:rPr>
      </w:pPr>
      <w:r w:rsidRPr="004619D6">
        <w:rPr>
          <w:rStyle w:val="FootnoteReference"/>
          <w:rFonts w:cs="Tahoma"/>
          <w:sz w:val="18"/>
          <w:szCs w:val="18"/>
        </w:rPr>
        <w:footnoteRef/>
      </w:r>
      <w:r w:rsidRPr="004619D6">
        <w:rPr>
          <w:rFonts w:cs="Tahoma"/>
          <w:sz w:val="18"/>
          <w:szCs w:val="18"/>
        </w:rPr>
        <w:t xml:space="preserve"> The rate of expected loss for a given portfolio of loans is a product of the probability of default (probability that the exposure of the portfolio will receive a non-performing status in a period of twelve months) and the rate of loss due to default in the exposures from the loan portfolio (average loss that the bank has made for non-performing and written off claims over a period of up to three years). When determining the rate of loss due to default, the bank is obliged to have historical data on realized losses from non-performing and written-off claims with similar characteristics, which received this status not more than five years before.</w:t>
      </w:r>
    </w:p>
  </w:footnote>
  <w:footnote w:id="21">
    <w:p w:rsidR="00280598" w:rsidRPr="004619D6" w:rsidRDefault="00280598" w:rsidP="002A11AC">
      <w:pPr>
        <w:pStyle w:val="FootnoteText"/>
        <w:ind w:left="-4536"/>
        <w:rPr>
          <w:rFonts w:cs="Tahoma"/>
          <w:sz w:val="18"/>
          <w:szCs w:val="18"/>
        </w:rPr>
      </w:pPr>
      <w:r w:rsidRPr="004619D6">
        <w:rPr>
          <w:rStyle w:val="FootnoteReference"/>
          <w:rFonts w:cs="Tahoma"/>
          <w:sz w:val="18"/>
          <w:szCs w:val="18"/>
        </w:rPr>
        <w:footnoteRef/>
      </w:r>
      <w:r w:rsidRPr="004619D6">
        <w:rPr>
          <w:rFonts w:cs="Tahoma"/>
          <w:sz w:val="18"/>
          <w:szCs w:val="18"/>
        </w:rPr>
        <w:t xml:space="preserve"> The loan portfolio may include exposures that are part of the small loans portfolio in accordance with the Decision on the methodology for determining the capital adequacy or exposures that meet the criteria under the Decision on the methodology for determining capital adequacy for the claims covered by residential property.</w:t>
      </w:r>
    </w:p>
  </w:footnote>
  <w:footnote w:id="22">
    <w:p w:rsidR="00280598" w:rsidRPr="004619D6" w:rsidRDefault="00280598" w:rsidP="002A11AC">
      <w:pPr>
        <w:pStyle w:val="FootnoteText"/>
        <w:ind w:left="-4536"/>
        <w:rPr>
          <w:rFonts w:cs="Tahoma"/>
          <w:sz w:val="18"/>
          <w:szCs w:val="18"/>
        </w:rPr>
      </w:pPr>
      <w:r w:rsidRPr="004619D6">
        <w:rPr>
          <w:rStyle w:val="FootnoteReference"/>
          <w:rFonts w:cs="Tahoma"/>
          <w:sz w:val="18"/>
          <w:szCs w:val="18"/>
        </w:rPr>
        <w:footnoteRef/>
      </w:r>
      <w:r w:rsidRPr="004619D6">
        <w:rPr>
          <w:rFonts w:cs="Tahoma"/>
          <w:sz w:val="18"/>
          <w:szCs w:val="18"/>
        </w:rPr>
        <w:t xml:space="preserve"> As of December 31, 2013, five banks used the opportunity to make the classification on a group basis.</w:t>
      </w:r>
    </w:p>
  </w:footnote>
  <w:footnote w:id="23">
    <w:p w:rsidR="00280598" w:rsidRPr="004619D6" w:rsidRDefault="00280598" w:rsidP="002A11AC">
      <w:pPr>
        <w:pStyle w:val="FootnoteText"/>
        <w:ind w:left="-4536"/>
        <w:rPr>
          <w:rFonts w:cs="Tahoma"/>
          <w:sz w:val="18"/>
          <w:szCs w:val="18"/>
        </w:rPr>
      </w:pPr>
      <w:r w:rsidRPr="004619D6">
        <w:rPr>
          <w:rStyle w:val="FootnoteReference"/>
          <w:rFonts w:cs="Tahoma"/>
          <w:sz w:val="18"/>
          <w:szCs w:val="18"/>
        </w:rPr>
        <w:footnoteRef/>
      </w:r>
      <w:r w:rsidRPr="004619D6">
        <w:rPr>
          <w:rFonts w:cs="Tahoma"/>
          <w:sz w:val="18"/>
          <w:szCs w:val="18"/>
        </w:rPr>
        <w:t xml:space="preserve"> </w:t>
      </w:r>
      <w:r w:rsidRPr="004619D6">
        <w:rPr>
          <w:rFonts w:cs="Tahoma"/>
          <w:color w:val="000000"/>
          <w:sz w:val="18"/>
          <w:szCs w:val="18"/>
        </w:rPr>
        <w:t>The Bank has no obligation to transfer the exposure into non-performing claims if the uncollected amount that is past due for more than 90 days does not exceed: Denar 1,000 (for natural persons), Denar 3.000 (for small companies) and Denar 10.000 (for other legal entities). As of December 31, 2013, six banks used this opportunity.</w:t>
      </w:r>
    </w:p>
  </w:footnote>
  <w:footnote w:id="24">
    <w:p w:rsidR="00280598" w:rsidRPr="004619D6" w:rsidRDefault="00280598" w:rsidP="002A11AC">
      <w:pPr>
        <w:pStyle w:val="FootnoteText"/>
        <w:ind w:left="-4536"/>
        <w:rPr>
          <w:rFonts w:cs="Tahoma"/>
          <w:sz w:val="18"/>
          <w:szCs w:val="18"/>
        </w:rPr>
      </w:pPr>
      <w:r w:rsidRPr="004619D6">
        <w:rPr>
          <w:rStyle w:val="FootnoteReference"/>
          <w:rFonts w:cs="Tahoma"/>
          <w:sz w:val="18"/>
          <w:szCs w:val="18"/>
        </w:rPr>
        <w:footnoteRef/>
      </w:r>
      <w:r w:rsidRPr="004619D6">
        <w:rPr>
          <w:rFonts w:cs="Tahoma"/>
          <w:sz w:val="18"/>
          <w:szCs w:val="18"/>
        </w:rPr>
        <w:t xml:space="preserve"> Without this security, the bank will have to set aside 100% impairment for such exposures.</w:t>
      </w:r>
    </w:p>
  </w:footnote>
  <w:footnote w:id="25">
    <w:p w:rsidR="00280598" w:rsidRPr="00C05623" w:rsidRDefault="00280598" w:rsidP="006856D3">
      <w:pPr>
        <w:pStyle w:val="FootnoteText"/>
        <w:ind w:left="-4536"/>
        <w:rPr>
          <w:rFonts w:cs="Tahoma"/>
          <w:sz w:val="18"/>
          <w:szCs w:val="18"/>
        </w:rPr>
      </w:pPr>
      <w:r w:rsidRPr="00C05623">
        <w:rPr>
          <w:rStyle w:val="FootnoteReference"/>
          <w:rFonts w:cs="Tahoma"/>
          <w:sz w:val="18"/>
          <w:szCs w:val="18"/>
        </w:rPr>
        <w:footnoteRef/>
      </w:r>
      <w:r w:rsidRPr="00C05623">
        <w:rPr>
          <w:rFonts w:cs="Tahoma"/>
          <w:sz w:val="18"/>
          <w:szCs w:val="18"/>
        </w:rPr>
        <w:t xml:space="preserve"> Liquid assets include the following balance sheet categories: cash and balances on accounts with the National Bank, CB bills, correspondent accounts and short-term deposits with foreign banks and investments in short-term securities issued by the government. For the liquidity analyzing purposes, Denar assets and liabilities with FX clause are regarded as Denar assets and liabilities.</w:t>
      </w:r>
    </w:p>
  </w:footnote>
  <w:footnote w:id="26">
    <w:p w:rsidR="00280598" w:rsidRPr="00C05623" w:rsidRDefault="00280598" w:rsidP="006856D3">
      <w:pPr>
        <w:pStyle w:val="FootnoteText"/>
        <w:ind w:left="-4536"/>
        <w:rPr>
          <w:rFonts w:cs="Tahoma"/>
          <w:sz w:val="18"/>
          <w:szCs w:val="18"/>
        </w:rPr>
      </w:pPr>
      <w:r w:rsidRPr="00C05623">
        <w:rPr>
          <w:rStyle w:val="FootnoteReference"/>
          <w:rFonts w:cs="Tahoma"/>
          <w:sz w:val="18"/>
          <w:szCs w:val="18"/>
        </w:rPr>
        <w:footnoteRef/>
      </w:r>
      <w:r w:rsidRPr="00C05623">
        <w:rPr>
          <w:rFonts w:cs="Tahoma"/>
          <w:sz w:val="18"/>
          <w:szCs w:val="18"/>
        </w:rPr>
        <w:t xml:space="preserve"> Government securities with maturities longer than one year are not included in liquid assets.</w:t>
      </w:r>
    </w:p>
  </w:footnote>
  <w:footnote w:id="27">
    <w:p w:rsidR="00280598" w:rsidRPr="006856D3" w:rsidRDefault="00280598" w:rsidP="006856D3">
      <w:pPr>
        <w:pStyle w:val="FootnoteText"/>
        <w:ind w:left="-4536"/>
        <w:rPr>
          <w:rFonts w:cs="Tahoma"/>
          <w:sz w:val="18"/>
          <w:szCs w:val="18"/>
        </w:rPr>
      </w:pPr>
      <w:r w:rsidRPr="006856D3">
        <w:rPr>
          <w:rStyle w:val="FootnoteReference"/>
          <w:rFonts w:cs="Tahoma"/>
          <w:sz w:val="18"/>
          <w:szCs w:val="18"/>
        </w:rPr>
        <w:footnoteRef/>
      </w:r>
      <w:r w:rsidRPr="006856D3">
        <w:rPr>
          <w:rStyle w:val="FootnoteReference"/>
          <w:rFonts w:cs="Tahoma"/>
          <w:sz w:val="18"/>
          <w:szCs w:val="18"/>
        </w:rPr>
        <w:t xml:space="preserve"> "Official Gazette of the Republic of Macedonia" no.126/11</w:t>
      </w:r>
      <w:r w:rsidRPr="006856D3">
        <w:rPr>
          <w:rFonts w:cs="Tahoma"/>
          <w:sz w:val="18"/>
          <w:szCs w:val="18"/>
        </w:rPr>
        <w:t>.</w:t>
      </w:r>
    </w:p>
  </w:footnote>
  <w:footnote w:id="28">
    <w:p w:rsidR="00280598" w:rsidRPr="00C05623" w:rsidRDefault="00280598" w:rsidP="006856D3">
      <w:pPr>
        <w:pStyle w:val="FootnoteText"/>
        <w:ind w:left="-4500"/>
        <w:rPr>
          <w:rFonts w:cs="Tahoma"/>
          <w:sz w:val="18"/>
          <w:szCs w:val="18"/>
        </w:rPr>
      </w:pPr>
      <w:r w:rsidRPr="00C05623">
        <w:rPr>
          <w:rStyle w:val="FootnoteReference"/>
          <w:rFonts w:cs="Tahoma"/>
          <w:sz w:val="18"/>
          <w:szCs w:val="18"/>
        </w:rPr>
        <w:footnoteRef/>
      </w:r>
      <w:r w:rsidRPr="00C05623">
        <w:rPr>
          <w:rFonts w:cs="Tahoma"/>
          <w:sz w:val="18"/>
          <w:szCs w:val="18"/>
        </w:rPr>
        <w:t xml:space="preserve"> The calculation of the banking system's liquidity does not include resident interbank assets and liabilities.</w:t>
      </w:r>
    </w:p>
  </w:footnote>
  <w:footnote w:id="29">
    <w:p w:rsidR="00280598" w:rsidRPr="00376970" w:rsidRDefault="00280598" w:rsidP="006856D3">
      <w:pPr>
        <w:pStyle w:val="FootnoteText"/>
        <w:ind w:left="-4500"/>
        <w:rPr>
          <w:rFonts w:cs="Tahoma"/>
          <w:sz w:val="18"/>
          <w:szCs w:val="18"/>
        </w:rPr>
      </w:pPr>
      <w:r w:rsidRPr="00376970">
        <w:rPr>
          <w:rStyle w:val="FootnoteReference"/>
          <w:rFonts w:cs="Tahoma"/>
          <w:sz w:val="18"/>
          <w:szCs w:val="18"/>
        </w:rPr>
        <w:footnoteRef/>
      </w:r>
      <w:r w:rsidRPr="00376970">
        <w:rPr>
          <w:rFonts w:cs="Tahoma"/>
          <w:sz w:val="18"/>
          <w:szCs w:val="18"/>
        </w:rPr>
        <w:t xml:space="preserve"> Banks' liquidity ratios are regulated by the Decision on banks’ liquidity risk management ("Official Gazette of the Republic of Macedonia" no. 126/11, 19/12 and 151/13).</w:t>
      </w:r>
    </w:p>
  </w:footnote>
  <w:footnote w:id="30">
    <w:p w:rsidR="00280598" w:rsidRPr="00C05623" w:rsidRDefault="00280598" w:rsidP="006856D3">
      <w:pPr>
        <w:pStyle w:val="FootnoteText"/>
        <w:ind w:left="-4536"/>
        <w:rPr>
          <w:rFonts w:cs="Tahoma"/>
          <w:sz w:val="18"/>
          <w:szCs w:val="18"/>
        </w:rPr>
      </w:pPr>
      <w:r w:rsidRPr="00C05623">
        <w:rPr>
          <w:rStyle w:val="FootnoteReference"/>
          <w:rFonts w:cs="Tahoma"/>
          <w:sz w:val="18"/>
          <w:szCs w:val="18"/>
        </w:rPr>
        <w:footnoteRef/>
      </w:r>
      <w:r w:rsidRPr="00C05623">
        <w:rPr>
          <w:rFonts w:cs="Tahoma"/>
          <w:sz w:val="18"/>
          <w:szCs w:val="18"/>
        </w:rPr>
        <w:t xml:space="preserve"> Cash inflows and outflows of banks were obtained indirectly, i.e. by changing the balances of some accounts of the banks' balance sheets. The effect on the banks' cash flows arising from the expenses and income that do not represent cash outflow or inflow (e.g., loans write-off, revaluation of securities available for sale or held for trading, depreciation of fixed assets, net exchange differences etc.) is an integral part of the change in the corresponding balance sheet items the corresponding inflow or outflow refers to.  </w:t>
      </w:r>
    </w:p>
  </w:footnote>
  <w:footnote w:id="31">
    <w:p w:rsidR="00280598" w:rsidRPr="00C05623" w:rsidRDefault="00280598" w:rsidP="006856D3">
      <w:pPr>
        <w:pStyle w:val="FootnoteText"/>
        <w:ind w:left="-4536"/>
        <w:rPr>
          <w:rFonts w:cs="Tahoma"/>
          <w:sz w:val="18"/>
          <w:szCs w:val="18"/>
        </w:rPr>
      </w:pPr>
      <w:r w:rsidRPr="00C05623">
        <w:rPr>
          <w:rStyle w:val="FootnoteReference"/>
          <w:rFonts w:cs="Tahoma"/>
          <w:sz w:val="18"/>
          <w:szCs w:val="18"/>
        </w:rPr>
        <w:footnoteRef/>
      </w:r>
      <w:r w:rsidRPr="00C05623">
        <w:rPr>
          <w:rFonts w:cs="Tahoma"/>
          <w:sz w:val="18"/>
          <w:szCs w:val="18"/>
        </w:rPr>
        <w:t xml:space="preserve"> In the simulations it is assumed that deposits that flow out of the banks are of short-term nature and are part of the short-term liabilities.</w:t>
      </w:r>
    </w:p>
  </w:footnote>
  <w:footnote w:id="32">
    <w:p w:rsidR="00280598" w:rsidRPr="00BF7C7F" w:rsidRDefault="00280598" w:rsidP="006856D3">
      <w:pPr>
        <w:pStyle w:val="FootnoteText"/>
        <w:ind w:left="-4536"/>
        <w:rPr>
          <w:rFonts w:cs="Tahoma"/>
        </w:rPr>
      </w:pPr>
      <w:r w:rsidRPr="00C05623">
        <w:rPr>
          <w:rStyle w:val="FootnoteReference"/>
          <w:rFonts w:cs="Tahoma"/>
          <w:sz w:val="18"/>
          <w:szCs w:val="18"/>
        </w:rPr>
        <w:footnoteRef/>
      </w:r>
      <w:r w:rsidRPr="00C05623">
        <w:rPr>
          <w:rFonts w:cs="Tahoma"/>
          <w:sz w:val="18"/>
          <w:szCs w:val="18"/>
        </w:rPr>
        <w:t xml:space="preserve"> Except subordinated and hybrid capital instruments whose payment is specifically regulated by the National Bank.</w:t>
      </w:r>
    </w:p>
  </w:footnote>
  <w:footnote w:id="33">
    <w:p w:rsidR="00280598" w:rsidRPr="0013203F" w:rsidRDefault="00280598" w:rsidP="009333CB">
      <w:pPr>
        <w:pStyle w:val="FootnoteText"/>
        <w:ind w:left="-4536"/>
        <w:rPr>
          <w:rFonts w:cs="Tahoma"/>
          <w:sz w:val="18"/>
          <w:szCs w:val="18"/>
        </w:rPr>
      </w:pPr>
      <w:r w:rsidRPr="0013203F">
        <w:rPr>
          <w:rStyle w:val="FootnoteReference"/>
          <w:rFonts w:cs="Tahoma"/>
          <w:sz w:val="18"/>
          <w:szCs w:val="18"/>
        </w:rPr>
        <w:footnoteRef/>
      </w:r>
      <w:r w:rsidRPr="0013203F">
        <w:rPr>
          <w:rFonts w:cs="Tahoma"/>
          <w:sz w:val="18"/>
          <w:szCs w:val="18"/>
        </w:rPr>
        <w:t xml:space="preserve"> The gap between assets and liabilities with currency component is the difference between assets and liabilities with currency component as determined by the methodology for managing currency risk, where the assets with currency component are presented on a net basis, i.e. less the impairment of assets with currency component classified in C, D and E risk categories.</w:t>
      </w:r>
    </w:p>
  </w:footnote>
  <w:footnote w:id="34">
    <w:p w:rsidR="00280598" w:rsidRPr="0013203F" w:rsidRDefault="00280598" w:rsidP="009333CB">
      <w:pPr>
        <w:pStyle w:val="FootnoteText"/>
        <w:ind w:left="-4536"/>
        <w:rPr>
          <w:rFonts w:cs="Tahoma"/>
          <w:sz w:val="18"/>
          <w:szCs w:val="18"/>
        </w:rPr>
      </w:pPr>
      <w:r w:rsidRPr="0013203F">
        <w:rPr>
          <w:rStyle w:val="FootnoteReference"/>
          <w:rFonts w:cs="Tahoma"/>
          <w:sz w:val="18"/>
          <w:szCs w:val="18"/>
        </w:rPr>
        <w:footnoteRef/>
      </w:r>
      <w:r w:rsidRPr="0013203F">
        <w:rPr>
          <w:rFonts w:cs="Tahoma"/>
          <w:sz w:val="18"/>
          <w:szCs w:val="18"/>
        </w:rPr>
        <w:t xml:space="preserve"> The largest changes are observed in short-term deposits of private non-financial companies and deposits of non-residents which declined by Denar 2,956 and Denar 2,288 million, respectively, as opposed to the growth of deposits of natural persons of Denar 1,795 million. The decrease in deposits of non-residents is a result of the deleveraging of two banks to their parent entities.  </w:t>
      </w:r>
    </w:p>
  </w:footnote>
  <w:footnote w:id="35">
    <w:p w:rsidR="00280598" w:rsidRPr="0013203F" w:rsidRDefault="00280598" w:rsidP="009333CB">
      <w:pPr>
        <w:pStyle w:val="FootnoteText"/>
        <w:ind w:left="-4536"/>
        <w:rPr>
          <w:rFonts w:cs="Tahoma"/>
          <w:sz w:val="18"/>
          <w:szCs w:val="18"/>
        </w:rPr>
      </w:pPr>
      <w:r w:rsidRPr="0013203F">
        <w:rPr>
          <w:rStyle w:val="FootnoteReference"/>
          <w:rFonts w:cs="Tahoma"/>
          <w:sz w:val="18"/>
          <w:szCs w:val="18"/>
        </w:rPr>
        <w:footnoteRef/>
      </w:r>
      <w:r w:rsidRPr="0013203F">
        <w:rPr>
          <w:rFonts w:cs="Tahoma"/>
          <w:sz w:val="18"/>
          <w:szCs w:val="18"/>
        </w:rPr>
        <w:t xml:space="preserve"> The largest increase was recorded in the natural persons' current accounts in foreign currency, which was in the amount of Denar 938 million. Changes in the remaining positions are smaller.   </w:t>
      </w:r>
    </w:p>
  </w:footnote>
  <w:footnote w:id="36">
    <w:p w:rsidR="00280598" w:rsidRPr="00687E72" w:rsidRDefault="00280598" w:rsidP="00687E72">
      <w:pPr>
        <w:pStyle w:val="FootnoteText"/>
        <w:ind w:left="-4536"/>
        <w:rPr>
          <w:rFonts w:cs="Tahoma"/>
          <w:sz w:val="18"/>
          <w:szCs w:val="18"/>
        </w:rPr>
      </w:pPr>
      <w:r w:rsidRPr="00687E72">
        <w:rPr>
          <w:rStyle w:val="FootnoteReference"/>
          <w:rFonts w:cs="Tahoma"/>
          <w:sz w:val="18"/>
          <w:szCs w:val="18"/>
        </w:rPr>
        <w:footnoteRef/>
      </w:r>
      <w:r w:rsidRPr="00687E72">
        <w:rPr>
          <w:rFonts w:cs="Tahoma"/>
          <w:sz w:val="18"/>
          <w:szCs w:val="18"/>
        </w:rPr>
        <w:t xml:space="preserve"> Interest rates are adjusted unilaterally, rather because of the changes in the bank's interest rate policy, than on the basis of a certain interest rate. The use of adjustable interest rates ensures more effective management, avoidance or transfer of assumed risks, and could serve as a liquidity and profitability management instrument.  </w:t>
      </w:r>
    </w:p>
  </w:footnote>
  <w:footnote w:id="37">
    <w:p w:rsidR="00280598" w:rsidRPr="00687E72" w:rsidRDefault="00280598" w:rsidP="00687E72">
      <w:pPr>
        <w:pStyle w:val="FootnoteText"/>
        <w:ind w:left="-4536"/>
        <w:rPr>
          <w:rFonts w:cs="Tahoma"/>
          <w:sz w:val="18"/>
          <w:szCs w:val="18"/>
        </w:rPr>
      </w:pPr>
      <w:r w:rsidRPr="00687E72">
        <w:rPr>
          <w:rStyle w:val="FootnoteReference"/>
          <w:rFonts w:cs="Tahoma"/>
          <w:sz w:val="18"/>
          <w:szCs w:val="18"/>
        </w:rPr>
        <w:footnoteRef/>
      </w:r>
      <w:r w:rsidRPr="00687E72">
        <w:rPr>
          <w:rFonts w:cs="Tahoma"/>
          <w:sz w:val="18"/>
          <w:szCs w:val="18"/>
        </w:rPr>
        <w:t xml:space="preserve"> Loans with adjustable interest rate accounted for 99.9% of total interest sensitive assets that have adjustable interest rates. </w:t>
      </w:r>
    </w:p>
  </w:footnote>
  <w:footnote w:id="38">
    <w:p w:rsidR="00280598" w:rsidRPr="00687E72" w:rsidRDefault="00280598" w:rsidP="00687E72">
      <w:pPr>
        <w:autoSpaceDE w:val="0"/>
        <w:autoSpaceDN w:val="0"/>
        <w:adjustRightInd w:val="0"/>
        <w:ind w:left="-4536"/>
        <w:rPr>
          <w:rFonts w:cs="Tahoma"/>
          <w:sz w:val="18"/>
          <w:szCs w:val="18"/>
        </w:rPr>
      </w:pPr>
      <w:r w:rsidRPr="00687E72">
        <w:rPr>
          <w:rStyle w:val="FootnoteReference"/>
          <w:rFonts w:cs="Tahoma"/>
          <w:sz w:val="18"/>
          <w:szCs w:val="18"/>
        </w:rPr>
        <w:footnoteRef/>
      </w:r>
      <w:r w:rsidRPr="00687E72">
        <w:rPr>
          <w:rFonts w:eastAsiaTheme="minorHAnsi" w:cs="Tahoma"/>
          <w:sz w:val="18"/>
          <w:szCs w:val="18"/>
        </w:rPr>
        <w:t xml:space="preserve"> According to the Law on Obligations ("Official Gazette of the Republic of Macedonia" no. 18/2001, 78/2001 4/2002, 59/2002, 5/2003, 84/2008, 81/2009 and 161/2009), the contracting interest in trade relations in which at least one of the persons is not a trader can not be higher than the statutory default interest rate, while in commercial agreements and contracts between traders and persons of public law it can not be higher than the statutory default interest increased by no more than 50%. The penalty interest rate shall be determined for each half-year period, at the level of the reference rate increased by ten percentage points in trade agreements and contracts between traders and persons of public law, i.e. increased by eight percentage points in contracts in which at least one of the persons is not a trader. The reference rate for monetary liabilities in Denars is the rate of the main instrument of open market operations of the National Bank valid on the last day of the half-year period that preceded the current half-year period, while for the cash liabilities denominated or determined in foreign currency - the one-month EURIBOR for Euros, valid on the last day of the half-year period that preceded the current half-year period</w:t>
      </w:r>
      <w:r w:rsidRPr="00687E72">
        <w:rPr>
          <w:rFonts w:eastAsiaTheme="minorHAnsi" w:cs="Tahoma"/>
          <w:color w:val="000000"/>
          <w:sz w:val="18"/>
          <w:szCs w:val="18"/>
        </w:rPr>
        <w:t>.</w:t>
      </w:r>
    </w:p>
  </w:footnote>
  <w:footnote w:id="39">
    <w:p w:rsidR="00280598" w:rsidRPr="00687E72" w:rsidRDefault="00280598" w:rsidP="00687E72">
      <w:pPr>
        <w:pStyle w:val="FootnoteText"/>
        <w:ind w:left="-4536"/>
        <w:rPr>
          <w:rFonts w:cs="Tahoma"/>
          <w:sz w:val="18"/>
          <w:szCs w:val="18"/>
        </w:rPr>
      </w:pPr>
      <w:r w:rsidRPr="00687E72">
        <w:rPr>
          <w:rStyle w:val="FootnoteReference"/>
          <w:rFonts w:cs="Tahoma"/>
          <w:sz w:val="18"/>
          <w:szCs w:val="18"/>
        </w:rPr>
        <w:footnoteRef/>
      </w:r>
      <w:r w:rsidRPr="00687E72">
        <w:rPr>
          <w:rFonts w:cs="Tahoma"/>
          <w:sz w:val="18"/>
          <w:szCs w:val="18"/>
        </w:rPr>
        <w:t xml:space="preserve"> Demand deposits and term deposits with an adjustable interest rate accounted for 5.1% and 60.9%, respectively, in the total interest sensitive liabilities that have adjustable interest rates.</w:t>
      </w:r>
    </w:p>
  </w:footnote>
  <w:footnote w:id="40">
    <w:p w:rsidR="00280598" w:rsidRPr="00687E72" w:rsidRDefault="00280598" w:rsidP="00687E72">
      <w:pPr>
        <w:pStyle w:val="FootnoteText"/>
        <w:ind w:left="-4536"/>
        <w:rPr>
          <w:rFonts w:cs="Tahoma"/>
          <w:sz w:val="18"/>
          <w:szCs w:val="18"/>
        </w:rPr>
      </w:pPr>
      <w:r w:rsidRPr="00687E72">
        <w:rPr>
          <w:rStyle w:val="FootnoteReference"/>
          <w:rFonts w:cs="Tahoma"/>
          <w:sz w:val="18"/>
          <w:szCs w:val="18"/>
        </w:rPr>
        <w:footnoteRef/>
      </w:r>
      <w:r w:rsidRPr="00687E72">
        <w:rPr>
          <w:rFonts w:cs="Tahoma"/>
          <w:sz w:val="18"/>
          <w:szCs w:val="18"/>
        </w:rPr>
        <w:t xml:space="preserve"> The positive gap of fixed interest rate positions arises from the fact that this type of interest rate prevails in most items of interest-sensitive assets: allocated reserve requirement, securities and banks' investments in deposits. The positive gap of positions with variable rate is a result of sight deposits which are mostly with variable interest rates.  </w:t>
      </w:r>
    </w:p>
  </w:footnote>
  <w:footnote w:id="41">
    <w:p w:rsidR="00280598" w:rsidRPr="00687E72" w:rsidRDefault="00280598" w:rsidP="00687E72">
      <w:pPr>
        <w:pStyle w:val="FootnoteText"/>
        <w:ind w:left="-4536"/>
        <w:rPr>
          <w:rFonts w:cs="Tahoma"/>
          <w:sz w:val="18"/>
          <w:szCs w:val="18"/>
        </w:rPr>
      </w:pPr>
      <w:r w:rsidRPr="00687E72">
        <w:rPr>
          <w:rStyle w:val="FootnoteReference"/>
          <w:rFonts w:cs="Tahoma"/>
          <w:sz w:val="18"/>
          <w:szCs w:val="18"/>
        </w:rPr>
        <w:footnoteRef/>
      </w:r>
      <w:r w:rsidRPr="00687E72">
        <w:rPr>
          <w:rFonts w:cs="Tahoma"/>
          <w:sz w:val="18"/>
          <w:szCs w:val="18"/>
        </w:rPr>
        <w:t xml:space="preserve"> The negative gap in the positions with adjustable interest rates stems from the fact that a significant portion of time deposits and almost all sight liabilities are with adjustable interest rates.   </w:t>
      </w:r>
    </w:p>
  </w:footnote>
  <w:footnote w:id="42">
    <w:p w:rsidR="00280598" w:rsidRPr="00687E72" w:rsidRDefault="00280598" w:rsidP="00687E72">
      <w:pPr>
        <w:pStyle w:val="FootnoteText"/>
        <w:ind w:left="-4500"/>
        <w:rPr>
          <w:rFonts w:cs="Tahoma"/>
          <w:sz w:val="18"/>
          <w:szCs w:val="18"/>
        </w:rPr>
      </w:pPr>
      <w:r w:rsidRPr="00687E72">
        <w:rPr>
          <w:rStyle w:val="FootnoteReference"/>
          <w:rFonts w:cs="Tahoma"/>
          <w:sz w:val="18"/>
          <w:szCs w:val="18"/>
        </w:rPr>
        <w:footnoteRef/>
      </w:r>
      <w:r w:rsidRPr="00687E72">
        <w:rPr>
          <w:rFonts w:cs="Tahoma"/>
          <w:sz w:val="18"/>
          <w:szCs w:val="18"/>
        </w:rPr>
        <w:t xml:space="preserve"> The total weighted value of the banking book at the level of the banking system is obtained by aggregating the weighted values ​​of the banking book of individual banks. For an individual bank, the ratio between the weighted value of the banking book and the bank's own funds may amount up to 20%.</w:t>
      </w:r>
    </w:p>
  </w:footnote>
  <w:footnote w:id="43">
    <w:p w:rsidR="00280598" w:rsidRPr="00396F33" w:rsidRDefault="00280598" w:rsidP="00B56B61">
      <w:pPr>
        <w:autoSpaceDE w:val="0"/>
        <w:autoSpaceDN w:val="0"/>
        <w:adjustRightInd w:val="0"/>
        <w:ind w:left="-4536"/>
        <w:rPr>
          <w:rFonts w:cs="Tahoma"/>
          <w:sz w:val="18"/>
          <w:szCs w:val="18"/>
          <w:lang w:eastAsia="mk-MK"/>
        </w:rPr>
      </w:pPr>
      <w:r w:rsidRPr="00396F33">
        <w:rPr>
          <w:rStyle w:val="FootnoteReference"/>
          <w:rFonts w:cs="Tahoma"/>
          <w:sz w:val="18"/>
          <w:szCs w:val="18"/>
        </w:rPr>
        <w:footnoteRef/>
      </w:r>
      <w:r w:rsidRPr="00396F33">
        <w:rPr>
          <w:rFonts w:cs="Tahoma"/>
          <w:sz w:val="18"/>
          <w:szCs w:val="18"/>
        </w:rPr>
        <w:t xml:space="preserve"> The Z Index is calculated as follows: </w:t>
      </w:r>
      <m:oMath>
        <m:r>
          <m:rPr>
            <m:sty m:val="bi"/>
          </m:rPr>
          <w:rPr>
            <w:rFonts w:ascii="Cambria Math" w:hAnsi="Cambria Math" w:cs="Tahoma"/>
            <w:sz w:val="18"/>
            <w:szCs w:val="18"/>
          </w:rPr>
          <m:t>Z=</m:t>
        </m:r>
        <m:f>
          <m:fPr>
            <m:ctrlPr>
              <w:rPr>
                <w:rFonts w:ascii="Cambria Math" w:hAnsi="Cambria Math" w:cs="Tahoma"/>
                <w:b/>
                <w:i/>
                <w:sz w:val="18"/>
                <w:szCs w:val="18"/>
              </w:rPr>
            </m:ctrlPr>
          </m:fPr>
          <m:num>
            <m:r>
              <m:rPr>
                <m:sty m:val="bi"/>
              </m:rPr>
              <w:rPr>
                <w:rFonts w:ascii="Cambria Math" w:hAnsi="Cambria Math" w:cs="Tahoma"/>
                <w:sz w:val="18"/>
                <w:szCs w:val="18"/>
              </w:rPr>
              <m:t>ROA+E/A</m:t>
            </m:r>
          </m:num>
          <m:den>
            <m:r>
              <m:rPr>
                <m:sty m:val="bi"/>
              </m:rPr>
              <w:rPr>
                <w:rFonts w:ascii="Cambria Math" w:hAnsi="Cambria Math" w:cs="Tahoma"/>
                <w:sz w:val="18"/>
                <w:szCs w:val="18"/>
              </w:rPr>
              <m:t>σ(ROA)</m:t>
            </m:r>
          </m:den>
        </m:f>
      </m:oMath>
      <w:r w:rsidRPr="00396F33">
        <w:rPr>
          <w:rFonts w:cs="Tahoma"/>
          <w:sz w:val="18"/>
          <w:szCs w:val="18"/>
        </w:rPr>
        <w:t xml:space="preserve">, where ROA is the rate of return on assets, E is equity and reserves, A is assets and σ( ROA) is the standard deviation of the rate of return on assets, calculated for the last three years. The formula shows that this measure as such, combines several indicators: banks' performance indicator (ROA), bank risk indicator (σ (ROA)) and banks' soundness and solvency measure (E/A). Calculated as such, </w:t>
      </w:r>
      <w:r w:rsidRPr="00396F33">
        <w:rPr>
          <w:rFonts w:cs="Tahoma"/>
          <w:bCs/>
          <w:sz w:val="18"/>
          <w:szCs w:val="18"/>
        </w:rPr>
        <w:t xml:space="preserve">the Z Index measures the bank's "distance" from full depletion of its capital potential, expressed in number of standard deviations from the rate of return on assets and as such, it is a measure of the banks' capacity to absorb losses. Higher levels of this index indicate lower risk levels and higher overall stability of the banks. </w:t>
      </w:r>
      <w:r w:rsidRPr="00396F33">
        <w:rPr>
          <w:rFonts w:cs="Tahoma"/>
          <w:sz w:val="18"/>
          <w:szCs w:val="18"/>
        </w:rPr>
        <w:t>The Z Index is usually presented in a logarithmic form (natural logarithm of the previously given formula), but it is easier to interpret and more indicative when presented in levels.</w:t>
      </w:r>
    </w:p>
  </w:footnote>
  <w:footnote w:id="44">
    <w:p w:rsidR="00280598" w:rsidRPr="00396F33" w:rsidRDefault="00280598" w:rsidP="00B56B61">
      <w:pPr>
        <w:pStyle w:val="FootnoteText"/>
        <w:ind w:left="-4507"/>
        <w:rPr>
          <w:rFonts w:cs="Tahoma"/>
          <w:sz w:val="18"/>
          <w:szCs w:val="18"/>
        </w:rPr>
      </w:pPr>
      <w:r w:rsidRPr="00396F33">
        <w:rPr>
          <w:rStyle w:val="FootnoteReference"/>
          <w:rFonts w:cs="Tahoma"/>
          <w:sz w:val="18"/>
          <w:szCs w:val="18"/>
        </w:rPr>
        <w:footnoteRef/>
      </w:r>
      <w:r w:rsidRPr="00396F33">
        <w:rPr>
          <w:rFonts w:cs="Tahoma"/>
          <w:sz w:val="18"/>
          <w:szCs w:val="18"/>
        </w:rPr>
        <w:t xml:space="preserve"> One bank of the group of large banks decided to keep the profits from 2012 in the positions of capital and reserves, but as available for distribution to shareholders, which prevented its inclusion in bank’s core capital and own funds</w:t>
      </w:r>
      <w:r w:rsidRPr="00396F33">
        <w:rPr>
          <w:rFonts w:cs="Tahoma"/>
          <w:bCs/>
          <w:sz w:val="18"/>
          <w:szCs w:val="18"/>
        </w:rPr>
        <w:t>.</w:t>
      </w:r>
    </w:p>
  </w:footnote>
  <w:footnote w:id="45">
    <w:p w:rsidR="00280598" w:rsidRPr="00396F33" w:rsidRDefault="00280598" w:rsidP="00B56B61">
      <w:pPr>
        <w:pStyle w:val="FootnoteText"/>
        <w:ind w:left="-4536"/>
        <w:rPr>
          <w:rFonts w:cs="Tahoma"/>
          <w:sz w:val="18"/>
          <w:szCs w:val="18"/>
        </w:rPr>
      </w:pPr>
      <w:r w:rsidRPr="00396F33">
        <w:rPr>
          <w:rStyle w:val="FootnoteReference"/>
          <w:rFonts w:cs="Tahoma"/>
          <w:sz w:val="18"/>
          <w:szCs w:val="18"/>
        </w:rPr>
        <w:footnoteRef/>
      </w:r>
      <w:r w:rsidRPr="00396F33">
        <w:rPr>
          <w:rFonts w:cs="Tahoma"/>
          <w:sz w:val="18"/>
          <w:szCs w:val="18"/>
        </w:rPr>
        <w:t xml:space="preserve"> One bank from the group of medium banks and two banks from the group of small banks</w:t>
      </w:r>
      <w:r w:rsidRPr="00396F33">
        <w:rPr>
          <w:rFonts w:cs="Tahoma"/>
          <w:bCs/>
          <w:sz w:val="18"/>
          <w:szCs w:val="18"/>
        </w:rPr>
        <w:t>.</w:t>
      </w:r>
    </w:p>
  </w:footnote>
  <w:footnote w:id="46">
    <w:p w:rsidR="00280598" w:rsidRPr="00396F33" w:rsidRDefault="00280598" w:rsidP="00B56B61">
      <w:pPr>
        <w:pStyle w:val="FootnoteText"/>
        <w:ind w:left="-4536"/>
        <w:rPr>
          <w:rFonts w:cs="Tahoma"/>
          <w:sz w:val="18"/>
          <w:szCs w:val="18"/>
        </w:rPr>
      </w:pPr>
      <w:r w:rsidRPr="00396F33">
        <w:rPr>
          <w:rStyle w:val="FootnoteReference"/>
          <w:rFonts w:cs="Tahoma"/>
          <w:sz w:val="18"/>
          <w:szCs w:val="18"/>
        </w:rPr>
        <w:footnoteRef/>
      </w:r>
      <w:r w:rsidRPr="00396F33">
        <w:rPr>
          <w:rFonts w:cs="Tahoma"/>
          <w:sz w:val="18"/>
          <w:szCs w:val="18"/>
        </w:rPr>
        <w:t xml:space="preserve"> As of December 31, 2013, the total banks’ liabilities based on subordinated instruments amounted to Denar 7,696 million. Of these, Denar 6,103 million are included in the calculation of own funds.</w:t>
      </w:r>
    </w:p>
  </w:footnote>
  <w:footnote w:id="47">
    <w:p w:rsidR="00280598" w:rsidRPr="00396F33" w:rsidRDefault="00280598" w:rsidP="00B56B61">
      <w:pPr>
        <w:pStyle w:val="FootnoteText"/>
        <w:ind w:left="-4536"/>
        <w:rPr>
          <w:rFonts w:cs="Tahoma"/>
          <w:sz w:val="18"/>
          <w:szCs w:val="18"/>
        </w:rPr>
      </w:pPr>
      <w:r w:rsidRPr="00396F33">
        <w:rPr>
          <w:rStyle w:val="FootnoteReference"/>
          <w:rFonts w:cs="Tahoma"/>
          <w:sz w:val="18"/>
          <w:szCs w:val="18"/>
        </w:rPr>
        <w:footnoteRef/>
      </w:r>
      <w:r w:rsidRPr="00396F33">
        <w:rPr>
          <w:rFonts w:cs="Tahoma"/>
          <w:sz w:val="18"/>
          <w:szCs w:val="18"/>
        </w:rPr>
        <w:t xml:space="preserve"> </w:t>
      </w:r>
      <w:r w:rsidRPr="00396F33">
        <w:rPr>
          <w:rFonts w:cs="Tahoma"/>
          <w:bCs/>
          <w:sz w:val="18"/>
          <w:szCs w:val="18"/>
        </w:rPr>
        <w:t>In accordance with the Decision on the accounting and regulatory treatment of foreclosed assets ("Official Gazette of the Republic of Macedonia" no. 50/13), banks are obliged to recognize as revaluation reserve, the positive difference between the closed impairment/special reserve of the claim which was collected by foreclosure and impairment of the foreclosed asset. According to the Decision, this type of reserves could be reduced (excluded from the calculation of own funds) only in case of sale of the foreclosed asset for which revaluation reserve was allocated.</w:t>
      </w:r>
    </w:p>
  </w:footnote>
  <w:footnote w:id="48">
    <w:p w:rsidR="00280598" w:rsidRPr="0088601C" w:rsidRDefault="00280598" w:rsidP="00B56B61">
      <w:pPr>
        <w:pStyle w:val="FootnoteText"/>
        <w:ind w:left="-4536"/>
        <w:rPr>
          <w:rFonts w:cs="Tahoma"/>
          <w:sz w:val="18"/>
          <w:szCs w:val="18"/>
        </w:rPr>
      </w:pPr>
      <w:r w:rsidRPr="0088601C">
        <w:rPr>
          <w:rStyle w:val="FootnoteReference"/>
          <w:rFonts w:cs="Tahoma"/>
          <w:sz w:val="18"/>
          <w:szCs w:val="18"/>
        </w:rPr>
        <w:footnoteRef/>
      </w:r>
      <w:r w:rsidRPr="0088601C">
        <w:rPr>
          <w:rFonts w:cs="Tahoma"/>
          <w:sz w:val="18"/>
          <w:szCs w:val="18"/>
        </w:rPr>
        <w:t xml:space="preserve"> Capital requirements are determined at the level of 8% of the risk-weighted assets.</w:t>
      </w:r>
    </w:p>
  </w:footnote>
  <w:footnote w:id="49">
    <w:p w:rsidR="00280598" w:rsidRPr="0088601C" w:rsidRDefault="00280598" w:rsidP="00B56B61">
      <w:pPr>
        <w:pStyle w:val="FootnoteText"/>
        <w:ind w:left="-4536"/>
        <w:rPr>
          <w:rFonts w:cs="Tahoma"/>
          <w:sz w:val="18"/>
          <w:szCs w:val="18"/>
        </w:rPr>
      </w:pPr>
      <w:r w:rsidRPr="0088601C">
        <w:rPr>
          <w:rStyle w:val="FootnoteReference"/>
          <w:rFonts w:cs="Tahoma"/>
          <w:sz w:val="18"/>
          <w:szCs w:val="18"/>
        </w:rPr>
        <w:footnoteRef/>
      </w:r>
      <w:r w:rsidRPr="0088601C">
        <w:rPr>
          <w:rFonts w:cs="Tahoma"/>
          <w:sz w:val="18"/>
          <w:szCs w:val="18"/>
        </w:rPr>
        <w:t xml:space="preserve"> As of December 31, 2013, three banks from the group of small banks fulfilled the condition for allocating capital requirement for foreign exchange risk, as opposed to December 31, 2012, when these banks were obliged to allocate capital requirement for currency risk</w:t>
      </w:r>
      <w:r w:rsidRPr="0088601C">
        <w:rPr>
          <w:rFonts w:cs="Tahoma"/>
          <w:bCs/>
          <w:sz w:val="18"/>
          <w:szCs w:val="18"/>
        </w:rPr>
        <w:t>.</w:t>
      </w:r>
    </w:p>
  </w:footnote>
  <w:footnote w:id="50">
    <w:p w:rsidR="00280598" w:rsidRPr="009E6D39" w:rsidRDefault="00280598" w:rsidP="00B56B61">
      <w:pPr>
        <w:pStyle w:val="FootnoteText"/>
        <w:ind w:left="-4536"/>
        <w:rPr>
          <w:rFonts w:cs="Tahoma"/>
          <w:sz w:val="18"/>
          <w:szCs w:val="18"/>
        </w:rPr>
      </w:pPr>
      <w:r w:rsidRPr="009E6D39">
        <w:rPr>
          <w:rStyle w:val="FootnoteReference"/>
          <w:rFonts w:cs="Tahoma"/>
          <w:sz w:val="18"/>
          <w:szCs w:val="18"/>
        </w:rPr>
        <w:footnoteRef/>
      </w:r>
      <w:r w:rsidRPr="009E6D39">
        <w:rPr>
          <w:rFonts w:cs="Tahoma"/>
          <w:sz w:val="18"/>
          <w:szCs w:val="18"/>
        </w:rPr>
        <w:t xml:space="preserve"> The annual growth rate of the credit exposure with higher risk, for 2013, is lower by more than five times compared to the simulated growth rate.</w:t>
      </w:r>
    </w:p>
  </w:footnote>
  <w:footnote w:id="51">
    <w:p w:rsidR="00280598" w:rsidRPr="009E6D39" w:rsidRDefault="00280598" w:rsidP="00B56B61">
      <w:pPr>
        <w:pStyle w:val="FootnoteText"/>
        <w:ind w:left="-4536"/>
        <w:rPr>
          <w:rFonts w:cs="Tahoma"/>
          <w:sz w:val="18"/>
          <w:szCs w:val="18"/>
        </w:rPr>
      </w:pPr>
      <w:r w:rsidRPr="009E6D39">
        <w:rPr>
          <w:rStyle w:val="FootnoteReference"/>
          <w:rFonts w:cs="Tahoma"/>
          <w:sz w:val="18"/>
          <w:szCs w:val="18"/>
        </w:rPr>
        <w:footnoteRef/>
      </w:r>
      <w:r w:rsidRPr="009E6D39">
        <w:rPr>
          <w:rFonts w:cs="Tahoma"/>
          <w:sz w:val="18"/>
          <w:szCs w:val="18"/>
        </w:rPr>
        <w:t xml:space="preserve"> In the fourth quarter of 2013, about 99% of the credit exposure classified in risk categories "A" and "B" are retained in these categories</w:t>
      </w:r>
      <w:r w:rsidRPr="009E6D39">
        <w:rPr>
          <w:rFonts w:cs="Tahoma"/>
          <w:bCs/>
          <w:sz w:val="18"/>
          <w:szCs w:val="18"/>
        </w:rPr>
        <w:t>.</w:t>
      </w:r>
    </w:p>
  </w:footnote>
  <w:footnote w:id="52">
    <w:p w:rsidR="00280598" w:rsidRPr="00205612" w:rsidRDefault="00280598" w:rsidP="00205612">
      <w:pPr>
        <w:pStyle w:val="FootnoteText"/>
        <w:ind w:left="-4536"/>
        <w:rPr>
          <w:rFonts w:cs="Tahoma"/>
          <w:sz w:val="18"/>
          <w:szCs w:val="18"/>
        </w:rPr>
      </w:pPr>
      <w:r w:rsidRPr="00205612">
        <w:rPr>
          <w:rStyle w:val="FootnoteReference"/>
          <w:rFonts w:cs="Tahoma"/>
          <w:sz w:val="18"/>
          <w:szCs w:val="18"/>
        </w:rPr>
        <w:footnoteRef/>
      </w:r>
      <w:r w:rsidRPr="00205612">
        <w:rPr>
          <w:rFonts w:cs="Tahoma"/>
          <w:sz w:val="18"/>
          <w:szCs w:val="18"/>
        </w:rPr>
        <w:t xml:space="preserve"> Based on the Decision of the Governor of the National Bank of the Republic of Macedonia no. 17226 of May 14, 2013, no. 17227 of May 14, 2013, and no. 19413 of May 29, 2013 the savings houses "Stedilnica Mladinec" Ltd. Skopje, " Stedilnica Bavag" Ltd. Skopje and " Stedilnica Peon" Ltd. Strumica, were issued an approval to transform into a financial company without being subject to liquidation.</w:t>
      </w:r>
    </w:p>
  </w:footnote>
  <w:footnote w:id="53">
    <w:p w:rsidR="00280598" w:rsidRPr="00205612" w:rsidRDefault="00280598" w:rsidP="00205612">
      <w:pPr>
        <w:pStyle w:val="FootnoteText"/>
        <w:ind w:left="-4536"/>
        <w:rPr>
          <w:rFonts w:cs="Tahoma"/>
          <w:sz w:val="18"/>
          <w:szCs w:val="18"/>
        </w:rPr>
      </w:pPr>
      <w:r w:rsidRPr="00205612">
        <w:rPr>
          <w:rStyle w:val="FootnoteReference"/>
          <w:rFonts w:cs="Tahoma"/>
          <w:sz w:val="18"/>
          <w:szCs w:val="18"/>
        </w:rPr>
        <w:footnoteRef/>
      </w:r>
      <w:r w:rsidRPr="00205612">
        <w:rPr>
          <w:rFonts w:cs="Tahoma"/>
          <w:sz w:val="18"/>
          <w:szCs w:val="18"/>
        </w:rPr>
        <w:t xml:space="preserve"> The share of the savings houses is only 0.8% of the total assets of the banking system, 1.0% of the total loans and 0.4% of the total deposits of natural persons in Denars and in Denars with FX clause. A more detailed analysis of the savings houses is given in the reports on the financial stability in the Republic of Macedonia.</w:t>
      </w:r>
    </w:p>
  </w:footnote>
  <w:footnote w:id="54">
    <w:p w:rsidR="00280598" w:rsidRPr="00205612" w:rsidRDefault="00280598" w:rsidP="00205612">
      <w:pPr>
        <w:pStyle w:val="FootnoteText"/>
        <w:ind w:left="-4536"/>
        <w:rPr>
          <w:rFonts w:cs="Tahoma"/>
          <w:sz w:val="18"/>
          <w:szCs w:val="18"/>
        </w:rPr>
      </w:pPr>
      <w:r w:rsidRPr="00205612">
        <w:rPr>
          <w:rStyle w:val="FootnoteReference"/>
          <w:rFonts w:cs="Tahoma"/>
          <w:sz w:val="18"/>
          <w:szCs w:val="18"/>
        </w:rPr>
        <w:footnoteRef/>
      </w:r>
      <w:r w:rsidRPr="00205612">
        <w:rPr>
          <w:rFonts w:cs="Tahoma"/>
          <w:sz w:val="18"/>
          <w:szCs w:val="18"/>
        </w:rPr>
        <w:t xml:space="preserve"> The number of business units includes the headquarters of banks.</w:t>
      </w:r>
    </w:p>
  </w:footnote>
  <w:footnote w:id="55">
    <w:p w:rsidR="00280598" w:rsidRPr="00205612" w:rsidRDefault="00280598" w:rsidP="00205612">
      <w:pPr>
        <w:pStyle w:val="FootnoteText"/>
        <w:ind w:left="-4536"/>
        <w:rPr>
          <w:rFonts w:cs="Tahoma"/>
          <w:sz w:val="18"/>
          <w:szCs w:val="18"/>
        </w:rPr>
      </w:pPr>
      <w:r w:rsidRPr="00205612">
        <w:rPr>
          <w:rStyle w:val="FootnoteReference"/>
          <w:rFonts w:cs="Tahoma"/>
          <w:sz w:val="18"/>
          <w:szCs w:val="18"/>
        </w:rPr>
        <w:footnoteRef/>
      </w:r>
      <w:r w:rsidRPr="00205612">
        <w:rPr>
          <w:rFonts w:cs="Tahoma"/>
          <w:sz w:val="18"/>
          <w:szCs w:val="18"/>
        </w:rPr>
        <w:t xml:space="preserve"> This year the number of residents in the Skopje region who are served per one business unit decreased by 89 persons. This region registered an increase in the number of the business units (7 new) also last year, when the number of residents per business unit decreased by 135 persons. </w:t>
      </w:r>
    </w:p>
  </w:footnote>
  <w:footnote w:id="56">
    <w:p w:rsidR="00280598" w:rsidRPr="00205612" w:rsidRDefault="00280598" w:rsidP="00205612">
      <w:pPr>
        <w:pStyle w:val="FootnoteText"/>
        <w:ind w:left="-4536"/>
        <w:rPr>
          <w:rFonts w:cs="Tahoma"/>
          <w:sz w:val="18"/>
          <w:szCs w:val="18"/>
        </w:rPr>
      </w:pPr>
      <w:r w:rsidRPr="00205612">
        <w:rPr>
          <w:rStyle w:val="FootnoteReference"/>
          <w:rFonts w:cs="Tahoma"/>
          <w:sz w:val="18"/>
          <w:szCs w:val="18"/>
        </w:rPr>
        <w:footnoteRef/>
      </w:r>
      <w:r w:rsidRPr="00205612">
        <w:rPr>
          <w:rFonts w:cs="Tahoma"/>
          <w:sz w:val="18"/>
          <w:szCs w:val="18"/>
        </w:rPr>
        <w:t xml:space="preserve"> In the Pelagonija region, the number of residents per business unit decreased by 568 persons.</w:t>
      </w:r>
    </w:p>
  </w:footnote>
  <w:footnote w:id="57">
    <w:p w:rsidR="00280598" w:rsidRPr="00205612" w:rsidRDefault="00280598" w:rsidP="00205612">
      <w:pPr>
        <w:pStyle w:val="FootnoteText"/>
        <w:ind w:left="-4536"/>
        <w:rPr>
          <w:rFonts w:cs="Tahoma"/>
          <w:sz w:val="18"/>
          <w:szCs w:val="18"/>
        </w:rPr>
      </w:pPr>
      <w:r w:rsidRPr="00205612">
        <w:rPr>
          <w:rStyle w:val="FootnoteReference"/>
          <w:rFonts w:cs="Tahoma"/>
          <w:sz w:val="18"/>
          <w:szCs w:val="18"/>
        </w:rPr>
        <w:footnoteRef/>
      </w:r>
      <w:r w:rsidRPr="00205612">
        <w:rPr>
          <w:rFonts w:cs="Tahoma"/>
          <w:sz w:val="18"/>
          <w:szCs w:val="18"/>
        </w:rPr>
        <w:t xml:space="preserve"> In the northeast region the number of residents per business unit increased by 601 persons, while in the region of Polog the increase was by 559 persons. The rise in the southeast region is much smaller and amounts to 251 residents per business unit. </w:t>
      </w:r>
    </w:p>
  </w:footnote>
  <w:footnote w:id="58">
    <w:p w:rsidR="00280598" w:rsidRPr="008F15BB" w:rsidRDefault="00280598" w:rsidP="00205612">
      <w:pPr>
        <w:ind w:left="-4536"/>
        <w:rPr>
          <w:rFonts w:cs="Tahoma"/>
          <w:sz w:val="18"/>
          <w:szCs w:val="18"/>
        </w:rPr>
      </w:pPr>
      <w:r w:rsidRPr="00205612">
        <w:rPr>
          <w:rStyle w:val="FootnoteReference"/>
          <w:rFonts w:cs="Tahoma"/>
          <w:sz w:val="18"/>
          <w:szCs w:val="18"/>
        </w:rPr>
        <w:footnoteRef/>
      </w:r>
      <w:r w:rsidRPr="00205612">
        <w:rPr>
          <w:rFonts w:cs="Tahoma"/>
          <w:sz w:val="18"/>
          <w:szCs w:val="18"/>
        </w:rPr>
        <w:t xml:space="preserve"> Two countries of the region are not included in the analysis due to lack of data.</w:t>
      </w:r>
      <w:r w:rsidRPr="008F15BB">
        <w:rPr>
          <w:rFonts w:cs="Tahoma"/>
          <w:sz w:val="18"/>
          <w:szCs w:val="18"/>
        </w:rPr>
        <w:t xml:space="preserve">  </w:t>
      </w:r>
      <w:r w:rsidRPr="008F15BB">
        <w:rPr>
          <w:rFonts w:cs="Tahoma"/>
          <w:b/>
          <w:sz w:val="18"/>
          <w:szCs w:val="18"/>
        </w:rPr>
        <w:t xml:space="preserve">   </w:t>
      </w:r>
    </w:p>
  </w:footnote>
  <w:footnote w:id="59">
    <w:p w:rsidR="00280598" w:rsidRPr="00875109" w:rsidRDefault="00280598" w:rsidP="00205612">
      <w:pPr>
        <w:pStyle w:val="FootnoteText"/>
        <w:ind w:left="-4536"/>
        <w:rPr>
          <w:rFonts w:cs="Tahoma"/>
          <w:sz w:val="18"/>
          <w:szCs w:val="18"/>
        </w:rPr>
      </w:pPr>
      <w:r w:rsidRPr="00875109">
        <w:rPr>
          <w:rStyle w:val="FootnoteReference"/>
          <w:rFonts w:cs="Tahoma"/>
          <w:sz w:val="18"/>
          <w:szCs w:val="18"/>
        </w:rPr>
        <w:footnoteRef/>
      </w:r>
      <w:r w:rsidRPr="00875109">
        <w:rPr>
          <w:rFonts w:cs="Tahoma"/>
          <w:sz w:val="18"/>
          <w:szCs w:val="18"/>
        </w:rPr>
        <w:t xml:space="preserve"> With both banks, the reduction in the number of employees is due to the rationalization of operating costs. </w:t>
      </w:r>
    </w:p>
  </w:footnote>
  <w:footnote w:id="60">
    <w:p w:rsidR="00280598" w:rsidRPr="008F15BB" w:rsidRDefault="00280598" w:rsidP="00205612">
      <w:pPr>
        <w:pStyle w:val="FootnoteText"/>
        <w:ind w:left="-4536"/>
        <w:rPr>
          <w:rFonts w:cs="Tahoma"/>
          <w:sz w:val="18"/>
          <w:szCs w:val="18"/>
        </w:rPr>
      </w:pPr>
      <w:r w:rsidRPr="008F15BB">
        <w:rPr>
          <w:rStyle w:val="FootnoteReference"/>
          <w:rFonts w:cs="Tahoma"/>
          <w:sz w:val="18"/>
          <w:szCs w:val="18"/>
        </w:rPr>
        <w:footnoteRef/>
      </w:r>
      <w:r w:rsidRPr="008F15BB">
        <w:rPr>
          <w:rFonts w:cs="Tahoma"/>
          <w:sz w:val="18"/>
          <w:szCs w:val="18"/>
        </w:rPr>
        <w:t xml:space="preserve"> This change was mostly due to two banks whose common shares in the nominal value of Denar 83 million were transferred from being owned by financial institutions to being owned by natural persons and non-financial legal entities</w:t>
      </w:r>
      <w:r w:rsidRPr="008F15BB">
        <w:rPr>
          <w:rFonts w:cs="Tahoma"/>
          <w:noProof/>
          <w:sz w:val="18"/>
          <w:szCs w:val="18"/>
        </w:rPr>
        <w:t xml:space="preserve">. </w:t>
      </w:r>
    </w:p>
  </w:footnote>
  <w:footnote w:id="61">
    <w:p w:rsidR="00280598" w:rsidRPr="00132760" w:rsidRDefault="00280598" w:rsidP="00205612">
      <w:pPr>
        <w:pStyle w:val="FootnoteText"/>
        <w:ind w:left="-4536"/>
        <w:rPr>
          <w:rFonts w:cs="Tahoma"/>
          <w:sz w:val="18"/>
          <w:szCs w:val="18"/>
        </w:rPr>
      </w:pPr>
      <w:r w:rsidRPr="00132760">
        <w:rPr>
          <w:rStyle w:val="FootnoteReference"/>
          <w:rFonts w:cs="Tahoma"/>
          <w:sz w:val="18"/>
          <w:szCs w:val="18"/>
        </w:rPr>
        <w:footnoteRef/>
      </w:r>
      <w:r w:rsidRPr="00132760">
        <w:rPr>
          <w:rFonts w:cs="Tahoma"/>
          <w:sz w:val="18"/>
          <w:szCs w:val="18"/>
        </w:rPr>
        <w:t xml:space="preserve"> Herfindahl index is calculated according to the formula</w:t>
      </w:r>
      <w:r w:rsidRPr="00132760">
        <w:rPr>
          <w:rFonts w:cs="Tahoma"/>
          <w:position w:val="-30"/>
          <w:sz w:val="18"/>
          <w:szCs w:val="18"/>
        </w:rPr>
        <w:object w:dxaOrig="14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32.25pt" o:ole="" fillcolor="window">
            <v:imagedata r:id="rId1" o:title=""/>
          </v:shape>
          <o:OLEObject Type="Embed" ProgID="Equation.3" ShapeID="_x0000_i1025" DrawAspect="Content" ObjectID="_1467026394" r:id="rId2"/>
        </w:object>
      </w:r>
      <w:r w:rsidRPr="00132760">
        <w:rPr>
          <w:rFonts w:cs="Tahoma"/>
          <w:sz w:val="18"/>
          <w:szCs w:val="18"/>
        </w:rPr>
        <w:t xml:space="preserve">, where S is the share of each bank in the total amount of the analyzed category (e.g., total assets, total deposits, etc.), while </w:t>
      </w:r>
      <w:r w:rsidRPr="00132760">
        <w:rPr>
          <w:rFonts w:cs="Tahoma"/>
          <w:i/>
          <w:sz w:val="18"/>
          <w:szCs w:val="18"/>
        </w:rPr>
        <w:t>n</w:t>
      </w:r>
      <w:r w:rsidRPr="00132760">
        <w:rPr>
          <w:rFonts w:cs="Tahoma"/>
          <w:sz w:val="18"/>
          <w:szCs w:val="18"/>
        </w:rPr>
        <w:t xml:space="preserve"> is the total number of banks in the system. When the index ranges from 1,000 units to 1,800 units, the level of concentration in the banking system is considered to be acceptable.</w:t>
      </w:r>
    </w:p>
  </w:footnote>
  <w:footnote w:id="62">
    <w:p w:rsidR="00280598" w:rsidRPr="006B33E9" w:rsidRDefault="00280598" w:rsidP="007E3713">
      <w:pPr>
        <w:pStyle w:val="FootnoteText"/>
        <w:ind w:left="-4536"/>
        <w:rPr>
          <w:rFonts w:cs="Tahoma"/>
          <w:sz w:val="18"/>
          <w:szCs w:val="18"/>
        </w:rPr>
      </w:pPr>
      <w:r w:rsidRPr="006B33E9">
        <w:rPr>
          <w:rStyle w:val="FootnoteReference"/>
          <w:rFonts w:cs="Tahoma"/>
          <w:sz w:val="18"/>
          <w:szCs w:val="18"/>
        </w:rPr>
        <w:footnoteRef/>
      </w:r>
      <w:r w:rsidRPr="006B33E9">
        <w:rPr>
          <w:rFonts w:cs="Tahoma"/>
          <w:sz w:val="18"/>
          <w:szCs w:val="18"/>
        </w:rPr>
        <w:t xml:space="preserve"> In July 2013, the tender for conducting CB bills auctions was changed. A shift was made from a tender with a maximum interest rate to a tender with a limited amount of supply and a fixed interest rate, with the interest rate simultaneously being reduced from 3.50% to 3.25%. </w:t>
      </w:r>
    </w:p>
  </w:footnote>
  <w:footnote w:id="63">
    <w:p w:rsidR="00280598" w:rsidRPr="006B33E9" w:rsidRDefault="00280598" w:rsidP="007E3713">
      <w:pPr>
        <w:pStyle w:val="FootnoteText"/>
        <w:ind w:left="-4536"/>
        <w:rPr>
          <w:rFonts w:cs="Tahoma"/>
          <w:sz w:val="18"/>
          <w:szCs w:val="18"/>
        </w:rPr>
      </w:pPr>
      <w:r w:rsidRPr="006B33E9">
        <w:rPr>
          <w:rStyle w:val="FootnoteReference"/>
          <w:rFonts w:cs="Tahoma"/>
          <w:sz w:val="18"/>
          <w:szCs w:val="18"/>
        </w:rPr>
        <w:footnoteRef/>
      </w:r>
      <w:r w:rsidRPr="006B33E9">
        <w:rPr>
          <w:rFonts w:cs="Tahoma"/>
          <w:sz w:val="18"/>
          <w:szCs w:val="18"/>
        </w:rPr>
        <w:t xml:space="preserve"> Loans to domestic banks increased by Denar 2,163 million, mainly due to increased long-term loans in foreign currency with "MBDP" ad Skopje. Growth was registered also in the assets on the accounts and deposits with domestic banks, primarily due to the growth of short-term foreign currency time deposits with domestic banks in the amount of Denar 285 million. </w:t>
      </w:r>
    </w:p>
  </w:footnote>
  <w:footnote w:id="64">
    <w:p w:rsidR="00280598" w:rsidRPr="006B33E9" w:rsidRDefault="00280598" w:rsidP="007E3713">
      <w:pPr>
        <w:pStyle w:val="FootnoteText"/>
        <w:ind w:left="-4536"/>
        <w:rPr>
          <w:rFonts w:cs="Tahoma"/>
          <w:sz w:val="18"/>
          <w:szCs w:val="18"/>
        </w:rPr>
      </w:pPr>
      <w:r w:rsidRPr="006B33E9">
        <w:rPr>
          <w:rStyle w:val="FootnoteReference"/>
          <w:rFonts w:cs="Tahoma"/>
          <w:sz w:val="18"/>
          <w:szCs w:val="18"/>
        </w:rPr>
        <w:footnoteRef/>
      </w:r>
      <w:r w:rsidRPr="006B33E9">
        <w:rPr>
          <w:rFonts w:cs="Tahoma"/>
          <w:sz w:val="18"/>
          <w:szCs w:val="18"/>
        </w:rPr>
        <w:t xml:space="preserve"> The annual growth of liabilities based on loans to nonresidents is entirely due to the growth (of Denar 1,819 million) of the liabilities based on loans in foreign currency with "MBDP" ad Skopje, as a result of the used credit line from EIB. </w:t>
      </w:r>
    </w:p>
  </w:footnote>
  <w:footnote w:id="65">
    <w:p w:rsidR="00280598" w:rsidRPr="00177381" w:rsidRDefault="00280598" w:rsidP="007E3713">
      <w:pPr>
        <w:pStyle w:val="FootnoteText"/>
        <w:ind w:left="-4536"/>
        <w:rPr>
          <w:rFonts w:cs="Tahoma"/>
          <w:sz w:val="18"/>
          <w:szCs w:val="18"/>
        </w:rPr>
      </w:pPr>
      <w:r w:rsidRPr="00177381">
        <w:rPr>
          <w:rStyle w:val="FootnoteReference"/>
          <w:rFonts w:cs="Tahoma"/>
          <w:sz w:val="18"/>
          <w:szCs w:val="18"/>
        </w:rPr>
        <w:footnoteRef/>
      </w:r>
      <w:r w:rsidRPr="00177381">
        <w:rPr>
          <w:rFonts w:cs="Tahoma"/>
          <w:sz w:val="18"/>
          <w:szCs w:val="18"/>
        </w:rPr>
        <w:t xml:space="preserve"> The increase in liabilities based on long-term loans in foreign currency to domestic banks ("MBDP" ad Skopje) was Denar 1.784 million, and it was entirely the cause for the increase in the total liabilities based on loans to financial companies.  </w:t>
      </w:r>
    </w:p>
  </w:footnote>
  <w:footnote w:id="66">
    <w:p w:rsidR="00280598" w:rsidRPr="00177381" w:rsidRDefault="00280598" w:rsidP="007E3713">
      <w:pPr>
        <w:pStyle w:val="FootnoteText"/>
        <w:ind w:left="-4536"/>
        <w:rPr>
          <w:rFonts w:cs="Tahoma"/>
          <w:sz w:val="18"/>
          <w:szCs w:val="18"/>
        </w:rPr>
      </w:pPr>
      <w:r w:rsidRPr="00177381">
        <w:rPr>
          <w:rStyle w:val="FootnoteReference"/>
          <w:rFonts w:cs="Tahoma"/>
          <w:sz w:val="18"/>
          <w:szCs w:val="18"/>
        </w:rPr>
        <w:footnoteRef/>
      </w:r>
      <w:r w:rsidRPr="00177381">
        <w:rPr>
          <w:rFonts w:cs="Tahoma"/>
          <w:sz w:val="18"/>
          <w:szCs w:val="18"/>
        </w:rPr>
        <w:t xml:space="preserve"> See more detail in Section 1.2. Deposits of non-financial entities.</w:t>
      </w:r>
    </w:p>
  </w:footnote>
  <w:footnote w:id="67">
    <w:p w:rsidR="00280598" w:rsidRPr="00177381" w:rsidRDefault="00280598" w:rsidP="007E3713">
      <w:pPr>
        <w:pStyle w:val="FootnoteText"/>
        <w:ind w:left="-4536"/>
        <w:rPr>
          <w:rStyle w:val="FootnoteReference"/>
          <w:rFonts w:cs="Tahoma"/>
          <w:sz w:val="18"/>
          <w:szCs w:val="18"/>
        </w:rPr>
      </w:pPr>
      <w:r w:rsidRPr="00177381">
        <w:rPr>
          <w:rStyle w:val="FootnoteReference"/>
          <w:rFonts w:cs="Tahoma"/>
          <w:sz w:val="18"/>
          <w:szCs w:val="18"/>
        </w:rPr>
        <w:footnoteRef/>
      </w:r>
      <w:r w:rsidRPr="00177381">
        <w:rPr>
          <w:rStyle w:val="FootnoteReference"/>
          <w:rFonts w:cs="Tahoma"/>
          <w:sz w:val="18"/>
          <w:szCs w:val="18"/>
        </w:rPr>
        <w:t xml:space="preserve"> </w:t>
      </w:r>
      <w:r w:rsidRPr="00177381">
        <w:rPr>
          <w:rFonts w:cs="Tahoma"/>
          <w:sz w:val="18"/>
          <w:szCs w:val="18"/>
        </w:rPr>
        <w:t>See m</w:t>
      </w:r>
      <w:r w:rsidRPr="00177381">
        <w:rPr>
          <w:rStyle w:val="FootnoteReference"/>
          <w:rFonts w:cs="Tahoma"/>
          <w:sz w:val="18"/>
          <w:szCs w:val="18"/>
        </w:rPr>
        <w:t xml:space="preserve">ore detail in Section I.5. </w:t>
      </w:r>
      <w:r w:rsidRPr="00177381">
        <w:rPr>
          <w:rFonts w:cs="Tahoma"/>
          <w:sz w:val="18"/>
          <w:szCs w:val="18"/>
        </w:rPr>
        <w:t>I</w:t>
      </w:r>
      <w:r w:rsidRPr="00177381">
        <w:rPr>
          <w:rStyle w:val="FootnoteReference"/>
          <w:rFonts w:cs="Tahoma"/>
          <w:sz w:val="18"/>
          <w:szCs w:val="18"/>
        </w:rPr>
        <w:t>nsolvency Risk.</w:t>
      </w:r>
    </w:p>
  </w:footnote>
  <w:footnote w:id="68">
    <w:p w:rsidR="00280598" w:rsidRPr="00177381" w:rsidRDefault="00280598" w:rsidP="007E3713">
      <w:pPr>
        <w:pStyle w:val="FootnoteText"/>
        <w:ind w:left="-4536"/>
        <w:rPr>
          <w:rStyle w:val="FootnoteReference"/>
          <w:rFonts w:cs="Tahoma"/>
          <w:sz w:val="18"/>
          <w:szCs w:val="18"/>
        </w:rPr>
      </w:pPr>
      <w:r w:rsidRPr="00177381">
        <w:rPr>
          <w:rStyle w:val="FootnoteReference"/>
          <w:rFonts w:cs="Tahoma"/>
          <w:sz w:val="18"/>
          <w:szCs w:val="18"/>
        </w:rPr>
        <w:footnoteRef/>
      </w:r>
      <w:r w:rsidRPr="00177381">
        <w:rPr>
          <w:rStyle w:val="FootnoteReference"/>
          <w:rFonts w:cs="Tahoma"/>
          <w:sz w:val="18"/>
          <w:szCs w:val="18"/>
        </w:rPr>
        <w:t xml:space="preserve"> </w:t>
      </w:r>
      <w:r w:rsidRPr="00177381">
        <w:rPr>
          <w:rFonts w:cs="Tahoma"/>
          <w:sz w:val="18"/>
          <w:szCs w:val="18"/>
        </w:rPr>
        <w:t>B</w:t>
      </w:r>
      <w:r w:rsidRPr="00177381">
        <w:rPr>
          <w:rStyle w:val="FootnoteReference"/>
          <w:rFonts w:cs="Tahoma"/>
          <w:sz w:val="18"/>
          <w:szCs w:val="18"/>
        </w:rPr>
        <w:t xml:space="preserve">anks’ liabilities to non-residents fell by </w:t>
      </w:r>
      <w:r w:rsidRPr="00177381">
        <w:rPr>
          <w:rFonts w:cs="Tahoma"/>
          <w:sz w:val="18"/>
          <w:szCs w:val="18"/>
        </w:rPr>
        <w:t xml:space="preserve">Denar </w:t>
      </w:r>
      <w:r w:rsidRPr="00177381">
        <w:rPr>
          <w:rStyle w:val="FootnoteReference"/>
          <w:rFonts w:cs="Tahoma"/>
          <w:sz w:val="18"/>
          <w:szCs w:val="18"/>
        </w:rPr>
        <w:t xml:space="preserve">39 million, or 0.1%. Claims on non-residents decreased by </w:t>
      </w:r>
      <w:r w:rsidRPr="00177381">
        <w:rPr>
          <w:rFonts w:cs="Tahoma"/>
          <w:sz w:val="18"/>
          <w:szCs w:val="18"/>
        </w:rPr>
        <w:t xml:space="preserve">Denar </w:t>
      </w:r>
      <w:r w:rsidRPr="00177381">
        <w:rPr>
          <w:rStyle w:val="FootnoteReference"/>
          <w:rFonts w:cs="Tahoma"/>
          <w:sz w:val="18"/>
          <w:szCs w:val="18"/>
        </w:rPr>
        <w:t>1,392 million (or 4.3%) due to the reduc</w:t>
      </w:r>
      <w:r w:rsidRPr="00177381">
        <w:rPr>
          <w:rFonts w:cs="Tahoma"/>
          <w:sz w:val="18"/>
          <w:szCs w:val="18"/>
        </w:rPr>
        <w:t>ed</w:t>
      </w:r>
      <w:r w:rsidRPr="00177381">
        <w:rPr>
          <w:rStyle w:val="FootnoteReference"/>
          <w:rFonts w:cs="Tahoma"/>
          <w:sz w:val="18"/>
          <w:szCs w:val="18"/>
        </w:rPr>
        <w:t xml:space="preserve"> placements with foreign banks b</w:t>
      </w:r>
      <w:r w:rsidRPr="00177381">
        <w:rPr>
          <w:rFonts w:cs="Tahoma"/>
          <w:sz w:val="18"/>
          <w:szCs w:val="18"/>
        </w:rPr>
        <w:t>y Denar</w:t>
      </w:r>
      <w:r w:rsidRPr="00177381">
        <w:rPr>
          <w:rStyle w:val="FootnoteReference"/>
          <w:rFonts w:cs="Tahoma"/>
          <w:sz w:val="18"/>
          <w:szCs w:val="18"/>
        </w:rPr>
        <w:t xml:space="preserve"> 698 million and reduc</w:t>
      </w:r>
      <w:r w:rsidRPr="00177381">
        <w:rPr>
          <w:rFonts w:cs="Tahoma"/>
          <w:sz w:val="18"/>
          <w:szCs w:val="18"/>
        </w:rPr>
        <w:t>ed</w:t>
      </w:r>
      <w:r w:rsidRPr="00177381">
        <w:rPr>
          <w:rStyle w:val="FootnoteReference"/>
          <w:rFonts w:cs="Tahoma"/>
          <w:sz w:val="18"/>
          <w:szCs w:val="18"/>
        </w:rPr>
        <w:t xml:space="preserve"> repo transactions with non-residents - financial c</w:t>
      </w:r>
      <w:r w:rsidRPr="00177381">
        <w:rPr>
          <w:rFonts w:cs="Tahoma"/>
          <w:sz w:val="18"/>
          <w:szCs w:val="18"/>
        </w:rPr>
        <w:t>ompanies</w:t>
      </w:r>
      <w:r w:rsidRPr="00177381">
        <w:rPr>
          <w:rStyle w:val="FootnoteReference"/>
          <w:rFonts w:cs="Tahoma"/>
          <w:sz w:val="18"/>
          <w:szCs w:val="18"/>
        </w:rPr>
        <w:t xml:space="preserve"> in foreign currency b</w:t>
      </w:r>
      <w:r w:rsidRPr="00177381">
        <w:rPr>
          <w:rFonts w:cs="Tahoma"/>
          <w:sz w:val="18"/>
          <w:szCs w:val="18"/>
        </w:rPr>
        <w:t>y Denar</w:t>
      </w:r>
      <w:r w:rsidRPr="00177381">
        <w:rPr>
          <w:rStyle w:val="FootnoteReference"/>
          <w:rFonts w:cs="Tahoma"/>
          <w:sz w:val="18"/>
          <w:szCs w:val="18"/>
        </w:rPr>
        <w:t xml:space="preserve"> 639 million</w:t>
      </w:r>
      <w:r w:rsidRPr="00177381">
        <w:rPr>
          <w:rFonts w:cs="Tahoma"/>
          <w:sz w:val="18"/>
          <w:szCs w:val="18"/>
        </w:rPr>
        <w:t>,</w:t>
      </w:r>
      <w:r w:rsidRPr="00177381">
        <w:rPr>
          <w:rStyle w:val="FootnoteReference"/>
          <w:rFonts w:cs="Tahoma"/>
          <w:sz w:val="18"/>
          <w:szCs w:val="18"/>
        </w:rPr>
        <w:t xml:space="preserve"> by o</w:t>
      </w:r>
      <w:r w:rsidRPr="00177381">
        <w:rPr>
          <w:rFonts w:cs="Tahoma"/>
          <w:sz w:val="18"/>
          <w:szCs w:val="18"/>
        </w:rPr>
        <w:t>ne medium</w:t>
      </w:r>
      <w:r w:rsidRPr="00177381">
        <w:rPr>
          <w:rStyle w:val="FootnoteReference"/>
          <w:rFonts w:cs="Tahoma"/>
          <w:sz w:val="18"/>
          <w:szCs w:val="18"/>
        </w:rPr>
        <w:t>-size bank.</w:t>
      </w:r>
    </w:p>
  </w:footnote>
  <w:footnote w:id="69">
    <w:p w:rsidR="00280598" w:rsidRPr="00177381" w:rsidRDefault="00280598" w:rsidP="007E3713">
      <w:pPr>
        <w:pStyle w:val="FootnoteText"/>
        <w:ind w:left="-4536"/>
        <w:rPr>
          <w:rFonts w:cs="Tahoma"/>
          <w:sz w:val="18"/>
          <w:szCs w:val="18"/>
        </w:rPr>
      </w:pPr>
      <w:r w:rsidRPr="00177381">
        <w:rPr>
          <w:rStyle w:val="FootnoteReference"/>
          <w:rFonts w:cs="Tahoma"/>
          <w:sz w:val="18"/>
          <w:szCs w:val="18"/>
        </w:rPr>
        <w:footnoteRef/>
      </w:r>
      <w:r w:rsidRPr="00177381">
        <w:rPr>
          <w:rFonts w:cs="Tahoma"/>
          <w:sz w:val="18"/>
          <w:szCs w:val="18"/>
        </w:rPr>
        <w:t xml:space="preserve"> L</w:t>
      </w:r>
      <w:r w:rsidRPr="00177381">
        <w:rPr>
          <w:sz w:val="18"/>
          <w:szCs w:val="18"/>
        </w:rPr>
        <w:t>oans to nonfinancial entities include the loans to nonfinancial persons - residents and non-residents, as follows: private and public non-financial companies (corporate loans), central government, local government, non-profit institutions serving households (loans to other clients), sole proprietors and natural persons (household loans)</w:t>
      </w:r>
      <w:r w:rsidRPr="00177381">
        <w:rPr>
          <w:rFonts w:cs="Tahoma"/>
          <w:sz w:val="18"/>
          <w:szCs w:val="18"/>
        </w:rPr>
        <w:t xml:space="preserve">. </w:t>
      </w:r>
    </w:p>
  </w:footnote>
  <w:footnote w:id="70">
    <w:p w:rsidR="00280598" w:rsidRPr="00177381" w:rsidRDefault="00280598" w:rsidP="007E3713">
      <w:pPr>
        <w:pStyle w:val="FootnoteText"/>
        <w:ind w:left="-4536"/>
        <w:rPr>
          <w:rFonts w:cs="Tahoma"/>
          <w:sz w:val="18"/>
          <w:szCs w:val="18"/>
        </w:rPr>
      </w:pPr>
      <w:r w:rsidRPr="00177381">
        <w:rPr>
          <w:rStyle w:val="FootnoteReference"/>
          <w:rFonts w:cs="Tahoma"/>
          <w:sz w:val="18"/>
          <w:szCs w:val="18"/>
        </w:rPr>
        <w:footnoteRef/>
      </w:r>
      <w:r w:rsidRPr="00177381">
        <w:rPr>
          <w:rFonts w:cs="Tahoma"/>
          <w:sz w:val="18"/>
          <w:szCs w:val="18"/>
        </w:rPr>
        <w:t xml:space="preserve"> Analyzed by individual bank, loans registered an annual increase in twelve banks (the increase ranged from 2.4% to 71.4% by individual bank), while the other banks recorded an annual decline in loans (the reduction ranged from 0.2% to 13.1% by individual bank).</w:t>
      </w:r>
    </w:p>
  </w:footnote>
  <w:footnote w:id="71">
    <w:p w:rsidR="00280598" w:rsidRPr="00C34765" w:rsidRDefault="00280598" w:rsidP="007E3713">
      <w:pPr>
        <w:pStyle w:val="FootnoteText"/>
        <w:ind w:left="-4536"/>
        <w:rPr>
          <w:rFonts w:cs="Tahoma"/>
          <w:sz w:val="18"/>
          <w:szCs w:val="18"/>
        </w:rPr>
      </w:pPr>
      <w:r w:rsidRPr="00C34765">
        <w:rPr>
          <w:rStyle w:val="FootnoteReference"/>
          <w:rFonts w:cs="Tahoma"/>
          <w:sz w:val="18"/>
          <w:szCs w:val="18"/>
        </w:rPr>
        <w:footnoteRef/>
      </w:r>
      <w:r w:rsidRPr="00C34765">
        <w:rPr>
          <w:rFonts w:cs="Tahoma"/>
          <w:sz w:val="18"/>
          <w:szCs w:val="18"/>
        </w:rPr>
        <w:t xml:space="preserve"> Loans to the government are not loans for financing the needs of the government, but they arise from the contract for sale of real-estate by one bank to the government, with deferred payment.</w:t>
      </w:r>
    </w:p>
  </w:footnote>
  <w:footnote w:id="72">
    <w:p w:rsidR="00280598" w:rsidRPr="00C34765" w:rsidRDefault="00280598" w:rsidP="007E3713">
      <w:pPr>
        <w:pStyle w:val="CommentText"/>
        <w:ind w:left="-4536"/>
        <w:rPr>
          <w:rFonts w:cs="Tahoma"/>
          <w:sz w:val="18"/>
          <w:szCs w:val="18"/>
        </w:rPr>
      </w:pPr>
      <w:r w:rsidRPr="00C34765">
        <w:rPr>
          <w:rStyle w:val="FootnoteReference"/>
          <w:rFonts w:cs="Tahoma"/>
          <w:sz w:val="18"/>
          <w:szCs w:val="18"/>
        </w:rPr>
        <w:footnoteRef/>
      </w:r>
      <w:r w:rsidRPr="00C34765">
        <w:rPr>
          <w:rFonts w:cs="Tahoma"/>
          <w:sz w:val="18"/>
          <w:szCs w:val="18"/>
        </w:rPr>
        <w:t xml:space="preserve"> Household Denar loans with FX clause increased by Denar 4,668 million, while those of companies declined by Denar 2,793 million.</w:t>
      </w:r>
    </w:p>
  </w:footnote>
  <w:footnote w:id="73">
    <w:p w:rsidR="00280598" w:rsidRPr="00C34765" w:rsidRDefault="00280598" w:rsidP="007E3713">
      <w:pPr>
        <w:pStyle w:val="FootnoteText"/>
        <w:ind w:left="-4536"/>
        <w:rPr>
          <w:rFonts w:cs="Tahoma"/>
          <w:sz w:val="18"/>
          <w:szCs w:val="18"/>
        </w:rPr>
      </w:pPr>
      <w:r w:rsidRPr="00C34765">
        <w:rPr>
          <w:rStyle w:val="FootnoteReference"/>
          <w:rFonts w:cs="Tahoma"/>
          <w:sz w:val="18"/>
          <w:szCs w:val="18"/>
        </w:rPr>
        <w:footnoteRef/>
      </w:r>
      <w:r w:rsidRPr="00C34765">
        <w:rPr>
          <w:rFonts w:cs="Tahoma"/>
          <w:sz w:val="18"/>
          <w:szCs w:val="18"/>
        </w:rPr>
        <w:t xml:space="preserve"> According to the amendments to the Decision on liquidity risk management, which have been applied since December 2013, in the calculation of the liquidity ratio up to 30 days and up 180 days, the percentage of term deposits which are assumed to flow out of the banks reduced (from 80% to 60%). </w:t>
      </w:r>
    </w:p>
  </w:footnote>
  <w:footnote w:id="74">
    <w:p w:rsidR="00280598" w:rsidRPr="00C34765" w:rsidRDefault="00280598" w:rsidP="007E3713">
      <w:pPr>
        <w:pStyle w:val="FootnoteText"/>
        <w:ind w:left="-4536"/>
        <w:rPr>
          <w:rFonts w:cs="Tahoma"/>
          <w:sz w:val="18"/>
          <w:szCs w:val="18"/>
        </w:rPr>
      </w:pPr>
      <w:r w:rsidRPr="00C34765">
        <w:rPr>
          <w:rStyle w:val="FootnoteReference"/>
          <w:rFonts w:cs="Tahoma"/>
          <w:sz w:val="18"/>
          <w:szCs w:val="18"/>
        </w:rPr>
        <w:footnoteRef/>
      </w:r>
      <w:r w:rsidRPr="00C34765">
        <w:rPr>
          <w:rFonts w:cs="Tahoma"/>
          <w:sz w:val="18"/>
          <w:szCs w:val="18"/>
        </w:rPr>
        <w:t xml:space="preserve"> Corporate Denar deposits registered a significant annual increase of Denar 5,489 million. Demand deposits contributed with 43.7%, short-term deposits with 32.0% and long-term deposits with 24.3% to this growth. Foreign currency corporate deposits decreased by Denar 2,576 million, while corporate Denar deposits with FX clause decreased by Denar 1,045 million.   </w:t>
      </w:r>
    </w:p>
  </w:footnote>
  <w:footnote w:id="75">
    <w:p w:rsidR="00280598" w:rsidRPr="00C34765" w:rsidRDefault="00280598" w:rsidP="007E3713">
      <w:pPr>
        <w:pStyle w:val="FootnoteText"/>
        <w:ind w:left="-4536"/>
        <w:rPr>
          <w:rFonts w:cs="Tahoma"/>
          <w:sz w:val="18"/>
          <w:szCs w:val="18"/>
        </w:rPr>
      </w:pPr>
      <w:r w:rsidRPr="00C34765">
        <w:rPr>
          <w:rStyle w:val="FootnoteReference"/>
          <w:rFonts w:cs="Tahoma"/>
          <w:sz w:val="18"/>
          <w:szCs w:val="18"/>
        </w:rPr>
        <w:footnoteRef/>
      </w:r>
      <w:r w:rsidRPr="00C34765">
        <w:rPr>
          <w:rFonts w:cs="Tahoma"/>
          <w:sz w:val="18"/>
          <w:szCs w:val="18"/>
        </w:rPr>
        <w:t xml:space="preserve"> Household Denar deposits contributed with 56.6%, while household foreign currency deposits with 30.2% to the growth of the total long-term deposits.  </w:t>
      </w:r>
    </w:p>
  </w:footnote>
  <w:footnote w:id="76">
    <w:p w:rsidR="00280598" w:rsidRPr="00C34765" w:rsidRDefault="00280598" w:rsidP="007E3713">
      <w:pPr>
        <w:pStyle w:val="FootnoteText"/>
        <w:ind w:left="-4536"/>
        <w:rPr>
          <w:rFonts w:cs="Tahoma"/>
          <w:sz w:val="18"/>
          <w:szCs w:val="18"/>
        </w:rPr>
      </w:pPr>
      <w:r w:rsidRPr="00C34765">
        <w:rPr>
          <w:rStyle w:val="FootnoteReference"/>
          <w:rFonts w:cs="Tahoma"/>
          <w:sz w:val="18"/>
          <w:szCs w:val="18"/>
        </w:rPr>
        <w:footnoteRef/>
      </w:r>
      <w:r w:rsidRPr="00C34765">
        <w:rPr>
          <w:rFonts w:cs="Tahoma"/>
          <w:sz w:val="18"/>
          <w:szCs w:val="18"/>
        </w:rPr>
        <w:t xml:space="preserve"> The reserve requirement ratios are diversified by currency of denomination and amount to: 10% for the liabilities in domestic currency (8% as of August 1, 2013); 20% for the liabilities in domestic currency with FX clause; 13% for the liabilities in foreign currency (15% as of August 1, 2013, except liabilities to non-residents - financial institutions in foreign currency with contractual maturity of up to one year, for which the reserve requirement rate remained 13%). By exception, the reserve requirement ratio is 0% for: liabilities to natural persons in domestic currency, in domestic currency with FX clause and in foreign currency, with contractual maturity of over two years, provided they fulfill the prescribed conditions; liabilities based on repo transactions in domestic currency; liabilities based on debt securities issued in domestic currency and original maturity of at least two years, in the amount of the nominal value; (effective as of August 1, 2013) liabilities to non-residents - financial institutions in domestic currency, in domestic currency with FX clause and in foreign currency, with contractual maturity of over one year and liabilities to non-residents in domestic currency, in domestic currency with FX clause and in foreign currency, with contractual maturity of over two years. </w:t>
      </w:r>
    </w:p>
  </w:footnote>
  <w:footnote w:id="77">
    <w:p w:rsidR="00280598" w:rsidRPr="008E6C13" w:rsidRDefault="00280598" w:rsidP="00E91267">
      <w:pPr>
        <w:pStyle w:val="FootnoteText"/>
        <w:ind w:left="-4536"/>
        <w:rPr>
          <w:rFonts w:cs="Tahoma"/>
          <w:sz w:val="18"/>
          <w:szCs w:val="18"/>
        </w:rPr>
      </w:pPr>
      <w:r w:rsidRPr="008E6C13">
        <w:rPr>
          <w:rStyle w:val="FootnoteReference"/>
          <w:rFonts w:cs="Tahoma"/>
          <w:sz w:val="18"/>
          <w:szCs w:val="18"/>
        </w:rPr>
        <w:footnoteRef/>
      </w:r>
      <w:r w:rsidRPr="008E6C13">
        <w:rPr>
          <w:rFonts w:cs="Tahoma"/>
          <w:sz w:val="18"/>
          <w:szCs w:val="18"/>
        </w:rPr>
        <w:t xml:space="preserve"> Banks were required to assess the value of the foreclosed asset at the time of its assuming and at least once every twelve months.</w:t>
      </w:r>
    </w:p>
  </w:footnote>
  <w:footnote w:id="78">
    <w:p w:rsidR="00280598" w:rsidRPr="008E6C13" w:rsidRDefault="00280598" w:rsidP="00E91267">
      <w:pPr>
        <w:pStyle w:val="FootnoteText"/>
        <w:ind w:left="-4536"/>
        <w:rPr>
          <w:rFonts w:cs="Tahoma"/>
          <w:sz w:val="18"/>
          <w:szCs w:val="18"/>
        </w:rPr>
      </w:pPr>
      <w:r w:rsidRPr="008E6C13">
        <w:rPr>
          <w:rStyle w:val="FootnoteReference"/>
          <w:rFonts w:cs="Tahoma"/>
          <w:sz w:val="18"/>
          <w:szCs w:val="18"/>
        </w:rPr>
        <w:footnoteRef/>
      </w:r>
      <w:r w:rsidRPr="008E6C13">
        <w:rPr>
          <w:rFonts w:cs="Tahoma"/>
          <w:sz w:val="18"/>
          <w:szCs w:val="18"/>
        </w:rPr>
        <w:t xml:space="preserve"> Decision amending the Decision on the accounting and regulatory treatment of foreclosures based on outstanding claims ("Official Gazette of the Republic of Macedonia" no. 74/2012).</w:t>
      </w:r>
    </w:p>
  </w:footnote>
  <w:footnote w:id="79">
    <w:p w:rsidR="00280598" w:rsidRPr="008E6C13" w:rsidRDefault="00280598" w:rsidP="00E91267">
      <w:pPr>
        <w:pStyle w:val="FootnoteText"/>
        <w:ind w:left="-4536"/>
        <w:rPr>
          <w:rFonts w:cs="Tahoma"/>
          <w:sz w:val="18"/>
          <w:szCs w:val="18"/>
        </w:rPr>
      </w:pPr>
      <w:r w:rsidRPr="008E6C13">
        <w:rPr>
          <w:rStyle w:val="FootnoteReference"/>
          <w:rFonts w:cs="Tahoma"/>
          <w:sz w:val="18"/>
          <w:szCs w:val="18"/>
        </w:rPr>
        <w:footnoteRef/>
      </w:r>
      <w:r w:rsidRPr="008E6C13">
        <w:rPr>
          <w:rFonts w:cs="Tahoma"/>
          <w:sz w:val="18"/>
          <w:szCs w:val="18"/>
        </w:rPr>
        <w:t xml:space="preserve"> Decision on the accounting and regulatory treatment of foreclosures based on outstanding claims ("Official Gazette of the Republic of Macedonia" no. 50/13).</w:t>
      </w:r>
    </w:p>
  </w:footnote>
  <w:footnote w:id="80">
    <w:p w:rsidR="00280598" w:rsidRPr="008E6C13" w:rsidRDefault="00280598" w:rsidP="00E91267">
      <w:pPr>
        <w:pStyle w:val="FootnoteText"/>
        <w:ind w:left="-4536"/>
        <w:rPr>
          <w:rFonts w:cs="Tahoma"/>
          <w:sz w:val="18"/>
          <w:szCs w:val="18"/>
        </w:rPr>
      </w:pPr>
      <w:r w:rsidRPr="008E6C13">
        <w:rPr>
          <w:rStyle w:val="FootnoteReference"/>
          <w:rFonts w:cs="Tahoma"/>
          <w:sz w:val="18"/>
          <w:szCs w:val="18"/>
        </w:rPr>
        <w:footnoteRef/>
      </w:r>
      <w:r w:rsidRPr="008E6C13">
        <w:rPr>
          <w:rFonts w:cs="Tahoma"/>
          <w:sz w:val="18"/>
          <w:szCs w:val="18"/>
        </w:rPr>
        <w:t xml:space="preserve"> The requirement to bring the book value of the foreclosed asset to zero, if it is not sold by the end of the fifth year after the foreclosure, remained.</w:t>
      </w:r>
    </w:p>
  </w:footnote>
  <w:footnote w:id="81">
    <w:p w:rsidR="00280598" w:rsidRPr="008E6C13" w:rsidRDefault="00280598" w:rsidP="00E91267">
      <w:pPr>
        <w:pStyle w:val="FootnoteText"/>
        <w:ind w:left="-4536"/>
        <w:rPr>
          <w:rFonts w:cs="Tahoma"/>
          <w:sz w:val="18"/>
          <w:szCs w:val="18"/>
        </w:rPr>
      </w:pPr>
      <w:r w:rsidRPr="008E6C13">
        <w:rPr>
          <w:rStyle w:val="FootnoteReference"/>
          <w:rFonts w:cs="Tahoma"/>
          <w:sz w:val="18"/>
          <w:szCs w:val="18"/>
        </w:rPr>
        <w:footnoteRef/>
      </w:r>
      <w:r w:rsidRPr="008E6C13">
        <w:rPr>
          <w:rFonts w:cs="Tahoma"/>
          <w:sz w:val="18"/>
          <w:szCs w:val="18"/>
        </w:rPr>
        <w:t xml:space="preserve"> Assets foreclosed before the new Decision entered into force (April 11, 2013), will be subject of certain dynamics for presenting impairment loss and reducing the value of the asset to zero.</w:t>
      </w:r>
    </w:p>
  </w:footnote>
  <w:footnote w:id="82">
    <w:p w:rsidR="00280598" w:rsidRPr="008E6C13" w:rsidRDefault="00280598" w:rsidP="00E91267">
      <w:pPr>
        <w:pStyle w:val="FootnoteText"/>
        <w:ind w:left="-4536"/>
        <w:rPr>
          <w:rFonts w:cs="Tahoma"/>
          <w:sz w:val="18"/>
          <w:szCs w:val="18"/>
        </w:rPr>
      </w:pPr>
      <w:r w:rsidRPr="008E6C13">
        <w:rPr>
          <w:rStyle w:val="FootnoteReference"/>
          <w:rFonts w:cs="Tahoma"/>
          <w:sz w:val="18"/>
          <w:szCs w:val="18"/>
        </w:rPr>
        <w:footnoteRef/>
      </w:r>
      <w:r w:rsidRPr="008E6C13">
        <w:rPr>
          <w:rFonts w:cs="Tahoma"/>
          <w:sz w:val="18"/>
          <w:szCs w:val="18"/>
        </w:rPr>
        <w:t xml:space="preserve"> Net value of the foreclosed asset represents the initial book value less the total amount of impairment.</w:t>
      </w:r>
    </w:p>
  </w:footnote>
  <w:footnote w:id="83">
    <w:p w:rsidR="00280598" w:rsidRPr="008E6C13" w:rsidRDefault="00280598" w:rsidP="00E91267">
      <w:pPr>
        <w:pStyle w:val="FootnoteText"/>
        <w:ind w:left="-4536"/>
        <w:rPr>
          <w:rFonts w:cs="Tahoma"/>
          <w:sz w:val="18"/>
          <w:szCs w:val="18"/>
        </w:rPr>
      </w:pPr>
      <w:r w:rsidRPr="008E6C13">
        <w:rPr>
          <w:rStyle w:val="FootnoteReference"/>
          <w:rFonts w:cs="Tahoma"/>
          <w:sz w:val="18"/>
          <w:szCs w:val="18"/>
        </w:rPr>
        <w:footnoteRef/>
      </w:r>
      <w:r w:rsidRPr="008E6C13">
        <w:rPr>
          <w:rFonts w:cs="Tahoma"/>
          <w:sz w:val="18"/>
          <w:szCs w:val="18"/>
        </w:rPr>
        <w:t xml:space="preserve"> Buildings do not include residential properties.</w:t>
      </w:r>
    </w:p>
  </w:footnote>
  <w:footnote w:id="84">
    <w:p w:rsidR="00280598" w:rsidRPr="008E6C13" w:rsidRDefault="00280598" w:rsidP="00E91267">
      <w:pPr>
        <w:pStyle w:val="FootnoteText"/>
        <w:ind w:left="-4536"/>
        <w:rPr>
          <w:rFonts w:cs="Tahoma"/>
          <w:sz w:val="18"/>
          <w:szCs w:val="18"/>
        </w:rPr>
      </w:pPr>
      <w:r w:rsidRPr="008E6C13">
        <w:rPr>
          <w:rStyle w:val="FootnoteReference"/>
          <w:rFonts w:cs="Tahoma"/>
          <w:sz w:val="18"/>
          <w:szCs w:val="18"/>
        </w:rPr>
        <w:footnoteRef/>
      </w:r>
      <w:r w:rsidRPr="008E6C13">
        <w:rPr>
          <w:rFonts w:cs="Tahoma"/>
          <w:sz w:val="18"/>
          <w:szCs w:val="18"/>
        </w:rPr>
        <w:t xml:space="preserve"> This rate is calculated when the selling value of the assets sold in 2013 is divided by the "initial value" of foreclosed assets as of December 31, 2012.</w:t>
      </w:r>
    </w:p>
  </w:footnote>
  <w:footnote w:id="85">
    <w:p w:rsidR="00280598" w:rsidRPr="008E6C13" w:rsidRDefault="00280598" w:rsidP="00E91267">
      <w:pPr>
        <w:pStyle w:val="FootnoteText"/>
        <w:ind w:left="-4536"/>
        <w:rPr>
          <w:rFonts w:cs="Tahoma"/>
          <w:sz w:val="18"/>
          <w:szCs w:val="18"/>
        </w:rPr>
      </w:pPr>
      <w:r w:rsidRPr="008E6C13">
        <w:rPr>
          <w:rStyle w:val="FootnoteReference"/>
          <w:rFonts w:cs="Tahoma"/>
          <w:sz w:val="18"/>
          <w:szCs w:val="18"/>
        </w:rPr>
        <w:footnoteRef/>
      </w:r>
      <w:r w:rsidRPr="008E6C13">
        <w:rPr>
          <w:rFonts w:cs="Tahoma"/>
          <w:sz w:val="18"/>
          <w:szCs w:val="18"/>
        </w:rPr>
        <w:t xml:space="preserve"> Initial accounting value shall be either the appraised value applicable on the date of acquisition or the purchase value of the foreclosed asset, whichever is lower (the value specified in the regulation passed by the competent authority, which stipulates the legal basis for the acquisition of the bank's right of ownership over the foreclosed asset).</w:t>
      </w:r>
    </w:p>
  </w:footnote>
  <w:footnote w:id="86">
    <w:p w:rsidR="00280598" w:rsidRPr="008E6C13" w:rsidRDefault="00280598" w:rsidP="00E91267">
      <w:pPr>
        <w:pStyle w:val="FootnoteText"/>
        <w:ind w:left="-4536"/>
        <w:rPr>
          <w:rFonts w:cs="Tahoma"/>
          <w:sz w:val="18"/>
          <w:szCs w:val="18"/>
        </w:rPr>
      </w:pPr>
      <w:r w:rsidRPr="008E6C13">
        <w:rPr>
          <w:rStyle w:val="FootnoteReference"/>
          <w:rFonts w:cs="Tahoma"/>
          <w:sz w:val="18"/>
          <w:szCs w:val="18"/>
        </w:rPr>
        <w:footnoteRef/>
      </w:r>
      <w:r w:rsidRPr="008E6C13">
        <w:rPr>
          <w:rFonts w:cs="Tahoma"/>
          <w:sz w:val="18"/>
          <w:szCs w:val="18"/>
        </w:rPr>
        <w:t xml:space="preserve"> The requirement for setting aside a revaluation reserve relates only to assets foreclosed after April 11, 2013, when the new Decision entered into force. </w:t>
      </w:r>
    </w:p>
  </w:footnote>
  <w:footnote w:id="87">
    <w:p w:rsidR="00280598" w:rsidRPr="002D03ED" w:rsidRDefault="00280598" w:rsidP="00795205">
      <w:pPr>
        <w:pStyle w:val="FootnoteText"/>
        <w:ind w:left="-4536"/>
        <w:rPr>
          <w:rFonts w:cs="Tahoma"/>
          <w:sz w:val="18"/>
          <w:szCs w:val="18"/>
        </w:rPr>
      </w:pPr>
      <w:r w:rsidRPr="002D03ED">
        <w:rPr>
          <w:rStyle w:val="FootnoteReference"/>
          <w:rFonts w:cs="Tahoma"/>
          <w:sz w:val="18"/>
          <w:szCs w:val="18"/>
        </w:rPr>
        <w:footnoteRef/>
      </w:r>
      <w:r w:rsidRPr="002D03ED">
        <w:rPr>
          <w:rFonts w:cs="Tahoma"/>
          <w:sz w:val="18"/>
          <w:szCs w:val="18"/>
        </w:rPr>
        <w:t xml:space="preserve"> Total regular income includes: net interest income, net commission income and other regular income (net trading income,  net  income  from  financial  instruments  carried  at  fair  value,  net  income  from  exchange  rate  differentials, income from dividends and equity investments, net gains from sale of financial assets available for sale, capital gains from assets  sales,  release  of  provisions  for  off-balance  sheet  items,  release  of  other  provisions,  income  from  other sources and income based on recovered claims previously written off).</w:t>
      </w:r>
    </w:p>
  </w:footnote>
  <w:footnote w:id="88">
    <w:p w:rsidR="00280598" w:rsidRPr="002D03ED" w:rsidRDefault="00280598" w:rsidP="002D03ED">
      <w:pPr>
        <w:pStyle w:val="FootnoteText"/>
        <w:ind w:left="-4536"/>
        <w:rPr>
          <w:rFonts w:cs="Tahoma"/>
          <w:color w:val="FF0000"/>
          <w:sz w:val="18"/>
          <w:szCs w:val="18"/>
        </w:rPr>
      </w:pPr>
      <w:r w:rsidRPr="002D03ED">
        <w:rPr>
          <w:rStyle w:val="FootnoteReference"/>
          <w:rFonts w:cs="Tahoma"/>
          <w:sz w:val="18"/>
          <w:szCs w:val="18"/>
        </w:rPr>
        <w:footnoteRef/>
      </w:r>
      <w:r w:rsidRPr="002D03ED">
        <w:rPr>
          <w:rFonts w:cs="Tahoma"/>
          <w:sz w:val="18"/>
          <w:szCs w:val="18"/>
        </w:rPr>
        <w:t xml:space="preserve"> Other regular income reduced by Denar 117.3 million, or 4.7% (primarily due to the reduction in the capital gains realized from the sale of assets in one bank in the country). The reduction of extraordinary income, by Denar 26 million, is also mostly due to the same bank</w:t>
      </w:r>
      <w:r w:rsidRPr="002D03ED">
        <w:rPr>
          <w:rFonts w:cs="Tahoma"/>
          <w:color w:val="FF0000"/>
          <w:sz w:val="18"/>
          <w:szCs w:val="18"/>
        </w:rPr>
        <w:t xml:space="preserve">. </w:t>
      </w:r>
    </w:p>
  </w:footnote>
  <w:footnote w:id="89">
    <w:p w:rsidR="00280598" w:rsidRPr="00556EB0" w:rsidRDefault="00280598" w:rsidP="00556EB0">
      <w:pPr>
        <w:pStyle w:val="FootnoteText"/>
        <w:ind w:left="-4536"/>
        <w:rPr>
          <w:rFonts w:cs="Tahoma"/>
          <w:sz w:val="18"/>
          <w:szCs w:val="18"/>
        </w:rPr>
      </w:pPr>
      <w:r w:rsidRPr="00556EB0">
        <w:rPr>
          <w:rStyle w:val="FootnoteReference"/>
          <w:rFonts w:cs="Tahoma"/>
          <w:sz w:val="18"/>
          <w:szCs w:val="18"/>
        </w:rPr>
        <w:footnoteRef/>
      </w:r>
      <w:r w:rsidRPr="00556EB0">
        <w:rPr>
          <w:rFonts w:cs="Tahoma"/>
          <w:sz w:val="18"/>
          <w:szCs w:val="18"/>
        </w:rPr>
        <w:t xml:space="preserve"> During 2013, the average monthly amount of the banks' investments in CB bills was lower by Denar 5,039 million, or 16.9% compared with the amount invested during 2012. Also, the weighted interest rate on CB bills continued to reduce, from 3.49% in January to 3.25% in December 2013. </w:t>
      </w:r>
    </w:p>
  </w:footnote>
  <w:footnote w:id="90">
    <w:p w:rsidR="00280598" w:rsidRPr="00556EB0" w:rsidRDefault="00280598" w:rsidP="00556EB0">
      <w:pPr>
        <w:pStyle w:val="FootnoteText"/>
        <w:ind w:left="-4536"/>
        <w:rPr>
          <w:rFonts w:cs="Tahoma"/>
          <w:sz w:val="18"/>
          <w:szCs w:val="18"/>
        </w:rPr>
      </w:pPr>
      <w:r w:rsidRPr="00556EB0">
        <w:rPr>
          <w:rStyle w:val="FootnoteReference"/>
          <w:rFonts w:cs="Tahoma"/>
          <w:sz w:val="18"/>
          <w:szCs w:val="18"/>
        </w:rPr>
        <w:footnoteRef/>
      </w:r>
      <w:r w:rsidRPr="00556EB0">
        <w:rPr>
          <w:rFonts w:cs="Tahoma"/>
          <w:sz w:val="18"/>
          <w:szCs w:val="18"/>
        </w:rPr>
        <w:t xml:space="preserve"> Interest income from investments in government securities, which is included in the category "interest income from other entities" increased by Denar 386.9 million, or 44.3% in 2013. The average monthly amount of banks' investments in Treasury bills during 2013, increased by Denar 9,343 million, or 45.2% compared to the average monthly amount invested in 2012. Investments in government bonds also increased significantly in 2013.</w:t>
      </w:r>
    </w:p>
  </w:footnote>
  <w:footnote w:id="91">
    <w:p w:rsidR="00280598" w:rsidRPr="00556EB0" w:rsidRDefault="00280598" w:rsidP="00795205">
      <w:pPr>
        <w:pStyle w:val="FootnoteText"/>
        <w:ind w:left="-4536"/>
        <w:rPr>
          <w:rFonts w:cs="Tahoma"/>
          <w:sz w:val="18"/>
          <w:szCs w:val="18"/>
        </w:rPr>
      </w:pPr>
      <w:r w:rsidRPr="00556EB0">
        <w:rPr>
          <w:rStyle w:val="FootnoteReference"/>
          <w:rFonts w:cs="Tahoma"/>
          <w:sz w:val="18"/>
          <w:szCs w:val="18"/>
        </w:rPr>
        <w:footnoteRef/>
      </w:r>
      <w:r w:rsidRPr="00556EB0">
        <w:rPr>
          <w:rFonts w:cs="Tahoma"/>
          <w:sz w:val="18"/>
          <w:szCs w:val="18"/>
        </w:rPr>
        <w:t xml:space="preserve"> Most significant decline was registered in the interest rates on short-term time Denar deposits with FX clause (by 2.2 percentage points), but the amount of these deposits is very small</w:t>
      </w:r>
      <w:r w:rsidRPr="00556EB0">
        <w:rPr>
          <w:rFonts w:cs="Tahoma"/>
          <w:bCs/>
          <w:sz w:val="18"/>
          <w:szCs w:val="18"/>
        </w:rPr>
        <w:t>.</w:t>
      </w:r>
    </w:p>
  </w:footnote>
  <w:footnote w:id="92">
    <w:p w:rsidR="00280598" w:rsidRPr="00556EB0" w:rsidRDefault="00280598" w:rsidP="00795205">
      <w:pPr>
        <w:pStyle w:val="FootnoteText"/>
        <w:ind w:left="-4536"/>
        <w:rPr>
          <w:rFonts w:cs="Tahoma"/>
          <w:sz w:val="18"/>
          <w:szCs w:val="18"/>
        </w:rPr>
      </w:pPr>
      <w:r w:rsidRPr="00556EB0">
        <w:rPr>
          <w:rStyle w:val="FootnoteReference"/>
          <w:rFonts w:cs="Tahoma"/>
          <w:sz w:val="18"/>
          <w:szCs w:val="18"/>
        </w:rPr>
        <w:footnoteRef/>
      </w:r>
      <w:r w:rsidRPr="00556EB0">
        <w:rPr>
          <w:rFonts w:cs="Tahoma"/>
          <w:sz w:val="18"/>
          <w:szCs w:val="18"/>
        </w:rPr>
        <w:t xml:space="preserve"> The reduction in the interest expenses from non-financial companies contributed with 24.1% to the reduction of the total interest expenses.</w:t>
      </w:r>
    </w:p>
  </w:footnote>
  <w:footnote w:id="93">
    <w:p w:rsidR="00280598" w:rsidRPr="00556EB0" w:rsidRDefault="00280598" w:rsidP="00795205">
      <w:pPr>
        <w:pStyle w:val="FootnoteText"/>
        <w:ind w:left="-4536"/>
        <w:rPr>
          <w:rFonts w:cs="Tahoma"/>
          <w:sz w:val="18"/>
          <w:szCs w:val="18"/>
        </w:rPr>
      </w:pPr>
      <w:r w:rsidRPr="00556EB0">
        <w:rPr>
          <w:rStyle w:val="FootnoteReference"/>
          <w:rFonts w:cs="Tahoma"/>
          <w:sz w:val="18"/>
          <w:szCs w:val="18"/>
        </w:rPr>
        <w:footnoteRef/>
      </w:r>
      <w:r w:rsidRPr="00556EB0">
        <w:rPr>
          <w:rFonts w:cs="Tahoma"/>
          <w:sz w:val="18"/>
          <w:szCs w:val="18"/>
        </w:rPr>
        <w:t xml:space="preserve"> Mostly due to the reduction in the interest expenses of non-residents, primarily non-residents - financial companies, based on a subordinated debt, term deposits and in a small part on the basis of borrowings.   </w:t>
      </w:r>
    </w:p>
  </w:footnote>
  <w:footnote w:id="94">
    <w:p w:rsidR="00280598" w:rsidRPr="00556EB0" w:rsidRDefault="00280598" w:rsidP="00795205">
      <w:pPr>
        <w:pStyle w:val="FootnoteText"/>
        <w:ind w:left="-4536"/>
        <w:rPr>
          <w:rFonts w:cs="Tahoma"/>
          <w:sz w:val="18"/>
          <w:szCs w:val="18"/>
        </w:rPr>
      </w:pPr>
      <w:r w:rsidRPr="00556EB0">
        <w:rPr>
          <w:rStyle w:val="FootnoteReference"/>
          <w:rFonts w:cs="Tahoma"/>
          <w:sz w:val="18"/>
          <w:szCs w:val="18"/>
        </w:rPr>
        <w:footnoteRef/>
      </w:r>
      <w:r w:rsidRPr="00556EB0">
        <w:rPr>
          <w:rFonts w:cs="Tahoma"/>
          <w:sz w:val="18"/>
          <w:szCs w:val="18"/>
        </w:rPr>
        <w:t xml:space="preserve"> Banks' operating  costs  include:  staff  costs,  depreciation,  general  and  administrative  expenses,  deposit  insurance premiums and other operating costs, except extraordinary expenses.  </w:t>
      </w:r>
    </w:p>
  </w:footnote>
  <w:footnote w:id="95">
    <w:p w:rsidR="00280598" w:rsidRPr="00556EB0" w:rsidRDefault="00280598" w:rsidP="00795205">
      <w:pPr>
        <w:pStyle w:val="FootnoteText"/>
        <w:ind w:left="-4536"/>
        <w:rPr>
          <w:rFonts w:cs="Tahoma"/>
          <w:sz w:val="18"/>
          <w:szCs w:val="18"/>
        </w:rPr>
      </w:pPr>
      <w:r w:rsidRPr="00556EB0">
        <w:rPr>
          <w:rStyle w:val="FootnoteReference"/>
          <w:rFonts w:cs="Tahoma"/>
          <w:sz w:val="18"/>
          <w:szCs w:val="18"/>
        </w:rPr>
        <w:footnoteRef/>
      </w:r>
      <w:r w:rsidRPr="00556EB0">
        <w:rPr>
          <w:rFonts w:cs="Tahoma"/>
          <w:sz w:val="18"/>
          <w:szCs w:val="18"/>
        </w:rPr>
        <w:t xml:space="preserve"> In circumstances when banks' deposits grow by 5.7% annually.</w:t>
      </w:r>
    </w:p>
  </w:footnote>
  <w:footnote w:id="96">
    <w:p w:rsidR="00280598" w:rsidRPr="00556EB0" w:rsidRDefault="00280598" w:rsidP="00795205">
      <w:pPr>
        <w:pStyle w:val="FootnoteText"/>
        <w:ind w:left="-4536"/>
        <w:rPr>
          <w:rFonts w:cs="Tahoma"/>
          <w:sz w:val="18"/>
          <w:szCs w:val="18"/>
        </w:rPr>
      </w:pPr>
      <w:r w:rsidRPr="00556EB0">
        <w:rPr>
          <w:rStyle w:val="FootnoteReference"/>
          <w:rFonts w:cs="Tahoma"/>
          <w:sz w:val="18"/>
          <w:szCs w:val="18"/>
        </w:rPr>
        <w:footnoteRef/>
      </w:r>
      <w:r w:rsidRPr="00556EB0">
        <w:rPr>
          <w:rFonts w:cs="Tahoma"/>
          <w:sz w:val="18"/>
          <w:szCs w:val="18"/>
        </w:rPr>
        <w:t xml:space="preserve"> Other  operating  costs  include: special  reserve for off-balance sheet exposure, other provisions and  expenses on other grounds (expenses from previous years, income taxes and contributions, expenses  for fines, fees and court decisions and other costs). In 2013, these costs decreased by Denar 231.7 million, or 19.3%. </w:t>
      </w:r>
    </w:p>
  </w:footnote>
  <w:footnote w:id="97">
    <w:p w:rsidR="00280598" w:rsidRPr="005A019D" w:rsidRDefault="00280598" w:rsidP="00795205">
      <w:pPr>
        <w:pStyle w:val="FootnoteText"/>
        <w:ind w:left="-4536"/>
        <w:rPr>
          <w:rFonts w:cs="Tahoma"/>
          <w:sz w:val="18"/>
          <w:szCs w:val="18"/>
        </w:rPr>
      </w:pPr>
      <w:r w:rsidRPr="005A019D">
        <w:rPr>
          <w:rStyle w:val="FootnoteReference"/>
          <w:rFonts w:cs="Tahoma"/>
          <w:sz w:val="18"/>
          <w:szCs w:val="18"/>
        </w:rPr>
        <w:footnoteRef/>
      </w:r>
      <w:r w:rsidRPr="005A019D">
        <w:rPr>
          <w:rFonts w:cs="Tahoma"/>
          <w:sz w:val="18"/>
          <w:szCs w:val="18"/>
        </w:rPr>
        <w:t xml:space="preserve"> Most of the increase in the remaining provisions results from the additional provisions for potential liabilities arising from litigation in one bank and additional provisions for pension and other employee benefits in two banks in the country.   </w:t>
      </w:r>
    </w:p>
  </w:footnote>
  <w:footnote w:id="98">
    <w:p w:rsidR="00280598" w:rsidRPr="005A019D" w:rsidRDefault="00280598" w:rsidP="00795205">
      <w:pPr>
        <w:pStyle w:val="FootnoteText"/>
        <w:ind w:left="-4536"/>
        <w:rPr>
          <w:rFonts w:cs="Tahoma"/>
          <w:sz w:val="18"/>
          <w:szCs w:val="18"/>
        </w:rPr>
      </w:pPr>
      <w:r w:rsidRPr="005A019D">
        <w:rPr>
          <w:rStyle w:val="FootnoteReference"/>
          <w:rFonts w:cs="Tahoma"/>
          <w:sz w:val="18"/>
          <w:szCs w:val="18"/>
        </w:rPr>
        <w:footnoteRef/>
      </w:r>
      <w:r w:rsidRPr="005A019D">
        <w:rPr>
          <w:rFonts w:cs="Tahoma"/>
          <w:sz w:val="18"/>
          <w:szCs w:val="18"/>
        </w:rPr>
        <w:t xml:space="preserve"> For comparison, at the end of 2012, net impairment of financial assets (loans and similar claims), increased by 16.9%, on an annual basis</w:t>
      </w:r>
      <w:r w:rsidRPr="005A019D">
        <w:rPr>
          <w:rFonts w:eastAsia="Tahoma,Bold" w:cs="Tahoma"/>
          <w:sz w:val="18"/>
          <w:szCs w:val="18"/>
          <w:lang w:eastAsia="mk-MK"/>
        </w:rPr>
        <w:t>.</w:t>
      </w:r>
    </w:p>
  </w:footnote>
  <w:footnote w:id="99">
    <w:p w:rsidR="00280598" w:rsidRPr="005A019D" w:rsidRDefault="00280598" w:rsidP="00795205">
      <w:pPr>
        <w:autoSpaceDE w:val="0"/>
        <w:autoSpaceDN w:val="0"/>
        <w:adjustRightInd w:val="0"/>
        <w:ind w:left="-4536"/>
        <w:rPr>
          <w:rFonts w:cs="Tahoma"/>
          <w:sz w:val="18"/>
          <w:szCs w:val="18"/>
          <w:lang w:eastAsia="mk-MK"/>
        </w:rPr>
      </w:pPr>
      <w:r w:rsidRPr="005A019D">
        <w:rPr>
          <w:rStyle w:val="FootnoteReference"/>
          <w:rFonts w:cs="Tahoma"/>
          <w:sz w:val="18"/>
          <w:szCs w:val="18"/>
        </w:rPr>
        <w:footnoteRef/>
      </w:r>
      <w:r w:rsidRPr="005A019D">
        <w:rPr>
          <w:rFonts w:cs="Tahoma"/>
          <w:sz w:val="18"/>
          <w:szCs w:val="18"/>
        </w:rPr>
        <w:t xml:space="preserve"> </w:t>
      </w:r>
      <w:r w:rsidRPr="005A019D">
        <w:rPr>
          <w:rFonts w:cs="Tahoma"/>
          <w:sz w:val="18"/>
          <w:szCs w:val="18"/>
          <w:lang w:eastAsia="mk-MK"/>
        </w:rPr>
        <w:t>Net  interest  margin  is  calculated  as  the  ratio  between  net  interest  income  and  average  interest-bearing  assets. Average  interest-bearing  assets  are  calculated  as  an  arithmetic  mean  of  the  amounts  of  interest-bearing assets  at the end of the current and at the end of the previous year.</w:t>
      </w:r>
    </w:p>
  </w:footnote>
  <w:footnote w:id="100">
    <w:p w:rsidR="00280598" w:rsidRPr="00D64505" w:rsidRDefault="00280598" w:rsidP="00795205">
      <w:pPr>
        <w:pStyle w:val="FootnoteText"/>
        <w:ind w:left="-4536"/>
        <w:rPr>
          <w:rFonts w:cs="Tahoma"/>
          <w:sz w:val="18"/>
          <w:szCs w:val="18"/>
        </w:rPr>
      </w:pPr>
      <w:r w:rsidRPr="00D64505">
        <w:rPr>
          <w:rStyle w:val="FootnoteReference"/>
          <w:rFonts w:cs="Tahoma"/>
          <w:sz w:val="18"/>
          <w:szCs w:val="18"/>
        </w:rPr>
        <w:footnoteRef/>
      </w:r>
      <w:r w:rsidRPr="00D64505">
        <w:rPr>
          <w:rFonts w:cs="Tahoma"/>
          <w:sz w:val="18"/>
          <w:szCs w:val="18"/>
        </w:rPr>
        <w:t xml:space="preserve"> During 2013, the key interest rate of the National Bank was reduced by 0.25 percentage points in January (from 3.75% to 3.50%) and by additional 0.25 percentage points in July (from 3.50% to 3.25%). </w:t>
      </w:r>
    </w:p>
    <w:p w:rsidR="00280598" w:rsidRPr="00BF7C7F" w:rsidRDefault="00280598" w:rsidP="00795205">
      <w:pPr>
        <w:pStyle w:val="FootnoteText"/>
        <w:ind w:left="-4536"/>
        <w:rPr>
          <w:rFonts w:cs="Tahoma"/>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598" w:rsidRDefault="00280598" w:rsidP="00620347">
    <w:pPr>
      <w:pStyle w:val="Header"/>
      <w:pBdr>
        <w:bottom w:val="thickThinSmallGap" w:sz="24" w:space="1" w:color="1F497D" w:themeColor="text2"/>
      </w:pBdr>
      <w:tabs>
        <w:tab w:val="left" w:pos="90"/>
      </w:tabs>
      <w:ind w:left="-4500"/>
      <w:jc w:val="right"/>
    </w:pPr>
    <w:r>
      <w:rPr>
        <w:color w:val="1F497D" w:themeColor="text2"/>
        <w:sz w:val="18"/>
        <w:szCs w:val="18"/>
      </w:rPr>
      <w:t>NATIONAL BANK OF THE REPUBLIC OF MACEDONIA</w:t>
    </w:r>
    <w:r w:rsidRPr="00EC4F52">
      <w:rPr>
        <w:rFonts w:eastAsia="Times New Roman" w:cs="Tahoma"/>
        <w:noProof/>
        <w:sz w:val="18"/>
        <w:szCs w:val="18"/>
      </w:rPr>
      <w:t xml:space="preserve"> </w:t>
    </w:r>
    <w:r>
      <w:rPr>
        <w:rFonts w:eastAsia="Times New Roman" w:cs="Tahoma"/>
        <w:noProof/>
        <w:sz w:val="18"/>
        <w:szCs w:val="18"/>
      </w:rPr>
      <w:drawing>
        <wp:inline distT="0" distB="0" distL="0" distR="0">
          <wp:extent cx="269240" cy="250190"/>
          <wp:effectExtent l="19050" t="0" r="0" b="0"/>
          <wp:docPr id="5" name="Picture 1" descr="Niko_Memo_Logo_Tem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o_Memo_Logo_Temno"/>
                  <pic:cNvPicPr>
                    <a:picLocks noChangeAspect="1" noChangeArrowheads="1"/>
                  </pic:cNvPicPr>
                </pic:nvPicPr>
                <pic:blipFill>
                  <a:blip r:embed="rId1"/>
                  <a:srcRect/>
                  <a:stretch>
                    <a:fillRect/>
                  </a:stretch>
                </pic:blipFill>
                <pic:spPr bwMode="auto">
                  <a:xfrm>
                    <a:off x="0" y="0"/>
                    <a:ext cx="269240" cy="250190"/>
                  </a:xfrm>
                  <a:prstGeom prst="rect">
                    <a:avLst/>
                  </a:prstGeom>
                  <a:noFill/>
                  <a:ln w="9525">
                    <a:noFill/>
                    <a:miter lim="800000"/>
                    <a:headEnd/>
                    <a:tailEnd/>
                  </a:ln>
                </pic:spPr>
              </pic:pic>
            </a:graphicData>
          </a:graphic>
        </wp:inline>
      </w:drawing>
    </w:r>
  </w:p>
  <w:p w:rsidR="00280598" w:rsidRDefault="0028059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598" w:rsidRPr="00F731B3" w:rsidRDefault="00280598" w:rsidP="00A75161">
    <w:pPr>
      <w:pStyle w:val="Header"/>
      <w:pBdr>
        <w:bottom w:val="thickThinSmallGap" w:sz="24" w:space="1" w:color="1F497D" w:themeColor="text2"/>
      </w:pBdr>
      <w:ind w:left="-4500"/>
      <w:jc w:val="right"/>
      <w:rPr>
        <w:color w:val="1F497D" w:themeColor="text2"/>
      </w:rPr>
    </w:pPr>
    <w:r w:rsidRPr="00070C1C">
      <w:rPr>
        <w:i/>
        <w:color w:val="1F497D" w:themeColor="text2"/>
        <w:sz w:val="18"/>
        <w:szCs w:val="18"/>
      </w:rPr>
      <w:t xml:space="preserve">Report on </w:t>
    </w:r>
    <w:r>
      <w:rPr>
        <w:i/>
        <w:color w:val="1F497D" w:themeColor="text2"/>
        <w:sz w:val="18"/>
        <w:szCs w:val="18"/>
      </w:rPr>
      <w:t xml:space="preserve">the </w:t>
    </w:r>
    <w:r w:rsidRPr="00070C1C">
      <w:rPr>
        <w:i/>
        <w:color w:val="1F497D" w:themeColor="text2"/>
        <w:sz w:val="18"/>
        <w:szCs w:val="18"/>
      </w:rPr>
      <w:t>risks in the banking</w:t>
    </w:r>
    <w:r w:rsidRPr="00070C1C">
      <w:rPr>
        <w:rFonts w:eastAsia="Times New Roman" w:cs="Tahoma"/>
        <w:i/>
        <w:noProof/>
        <w:color w:val="1F497D" w:themeColor="text2"/>
        <w:sz w:val="18"/>
        <w:szCs w:val="18"/>
      </w:rPr>
      <w:t xml:space="preserve"> system of the Republic of Ma</w:t>
    </w:r>
    <w:r>
      <w:rPr>
        <w:rFonts w:eastAsia="Times New Roman" w:cs="Tahoma"/>
        <w:i/>
        <w:noProof/>
        <w:color w:val="1F497D" w:themeColor="text2"/>
        <w:sz w:val="18"/>
        <w:szCs w:val="18"/>
      </w:rPr>
      <w:t xml:space="preserve">cedonia in </w:t>
    </w:r>
    <w:r w:rsidRPr="00070C1C">
      <w:rPr>
        <w:rFonts w:eastAsia="Times New Roman" w:cs="Tahoma"/>
        <w:i/>
        <w:noProof/>
        <w:color w:val="1F497D" w:themeColor="text2"/>
        <w:sz w:val="18"/>
        <w:szCs w:val="18"/>
      </w:rPr>
      <w:t>2013</w:t>
    </w:r>
    <w:r>
      <w:rPr>
        <w:rFonts w:eastAsia="Times New Roman" w:cs="Tahoma"/>
        <w:i/>
        <w:noProof/>
        <w:color w:val="1F497D" w:themeColor="text2"/>
        <w:sz w:val="18"/>
        <w:szCs w:val="18"/>
      </w:rPr>
      <w:t xml:space="preserve"> </w:t>
    </w:r>
    <w:r w:rsidRPr="00F731B3">
      <w:rPr>
        <w:rFonts w:eastAsia="Times New Roman" w:cs="Tahoma"/>
        <w:noProof/>
        <w:color w:val="1F497D" w:themeColor="text2"/>
        <w:sz w:val="18"/>
        <w:szCs w:val="18"/>
      </w:rPr>
      <w:drawing>
        <wp:inline distT="0" distB="0" distL="0" distR="0">
          <wp:extent cx="269240" cy="250190"/>
          <wp:effectExtent l="19050" t="0" r="0" b="0"/>
          <wp:docPr id="4" name="Picture 1" descr="Niko_Memo_Logo_Tem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o_Memo_Logo_Temno"/>
                  <pic:cNvPicPr>
                    <a:picLocks noChangeAspect="1" noChangeArrowheads="1"/>
                  </pic:cNvPicPr>
                </pic:nvPicPr>
                <pic:blipFill>
                  <a:blip r:embed="rId1"/>
                  <a:srcRect/>
                  <a:stretch>
                    <a:fillRect/>
                  </a:stretch>
                </pic:blipFill>
                <pic:spPr bwMode="auto">
                  <a:xfrm>
                    <a:off x="0" y="0"/>
                    <a:ext cx="269240" cy="250190"/>
                  </a:xfrm>
                  <a:prstGeom prst="rect">
                    <a:avLst/>
                  </a:prstGeom>
                  <a:noFill/>
                  <a:ln w="9525">
                    <a:noFill/>
                    <a:miter lim="800000"/>
                    <a:headEnd/>
                    <a:tailEnd/>
                  </a:ln>
                </pic:spPr>
              </pic:pic>
            </a:graphicData>
          </a:graphic>
        </wp:inline>
      </w:drawing>
    </w:r>
  </w:p>
  <w:p w:rsidR="00280598" w:rsidRDefault="0028059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60618"/>
    <w:multiLevelType w:val="hybridMultilevel"/>
    <w:tmpl w:val="A5E250F8"/>
    <w:lvl w:ilvl="0" w:tplc="10EEB7D2">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2A6E27"/>
    <w:multiLevelType w:val="hybridMultilevel"/>
    <w:tmpl w:val="B06CC79C"/>
    <w:lvl w:ilvl="0" w:tplc="D97CFFAA">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DE3E45"/>
    <w:multiLevelType w:val="hybridMultilevel"/>
    <w:tmpl w:val="77E02D6E"/>
    <w:lvl w:ilvl="0" w:tplc="7A1E5A5C">
      <w:start w:val="1"/>
      <w:numFmt w:val="decimal"/>
      <w:pStyle w:val="Style1"/>
      <w:suff w:val="space"/>
      <w:lvlText w:val="1.%1."/>
      <w:lvlJc w:val="left"/>
      <w:pPr>
        <w:ind w:left="357" w:firstLine="3"/>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7D31B6"/>
    <w:multiLevelType w:val="hybridMultilevel"/>
    <w:tmpl w:val="963E3E4A"/>
    <w:lvl w:ilvl="0" w:tplc="FA927F9C">
      <w:start w:val="1"/>
      <w:numFmt w:val="decimal"/>
      <w:suff w:val="space"/>
      <w:lvlText w:val="2.%1."/>
      <w:lvlJc w:val="left"/>
      <w:pPr>
        <w:ind w:left="357" w:hanging="357"/>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1C1633"/>
    <w:multiLevelType w:val="multilevel"/>
    <w:tmpl w:val="AF7EF064"/>
    <w:lvl w:ilvl="0">
      <w:start w:val="2"/>
      <w:numFmt w:val="decimal"/>
      <w:lvlText w:val="%1."/>
      <w:lvlJc w:val="left"/>
      <w:pPr>
        <w:ind w:left="-4176"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5616" w:hanging="1080"/>
      </w:pPr>
      <w:rPr>
        <w:rFonts w:hint="default"/>
      </w:rPr>
    </w:lvl>
    <w:lvl w:ilvl="3">
      <w:start w:val="1"/>
      <w:numFmt w:val="decimal"/>
      <w:isLgl/>
      <w:lvlText w:val="%1.%2.%3.%4."/>
      <w:lvlJc w:val="left"/>
      <w:pPr>
        <w:ind w:left="10512" w:hanging="1440"/>
      </w:pPr>
      <w:rPr>
        <w:rFonts w:hint="default"/>
      </w:rPr>
    </w:lvl>
    <w:lvl w:ilvl="4">
      <w:start w:val="1"/>
      <w:numFmt w:val="decimal"/>
      <w:isLgl/>
      <w:lvlText w:val="%1.%2.%3.%4.%5."/>
      <w:lvlJc w:val="left"/>
      <w:pPr>
        <w:ind w:left="15048" w:hanging="1440"/>
      </w:pPr>
      <w:rPr>
        <w:rFonts w:hint="default"/>
      </w:rPr>
    </w:lvl>
    <w:lvl w:ilvl="5">
      <w:start w:val="1"/>
      <w:numFmt w:val="decimal"/>
      <w:isLgl/>
      <w:lvlText w:val="%1.%2.%3.%4.%5.%6."/>
      <w:lvlJc w:val="left"/>
      <w:pPr>
        <w:ind w:left="19944" w:hanging="1800"/>
      </w:pPr>
      <w:rPr>
        <w:rFonts w:hint="default"/>
      </w:rPr>
    </w:lvl>
    <w:lvl w:ilvl="6">
      <w:start w:val="1"/>
      <w:numFmt w:val="decimal"/>
      <w:isLgl/>
      <w:lvlText w:val="%1.%2.%3.%4.%5.%6.%7."/>
      <w:lvlJc w:val="left"/>
      <w:pPr>
        <w:ind w:left="24840" w:hanging="2160"/>
      </w:pPr>
      <w:rPr>
        <w:rFonts w:hint="default"/>
      </w:rPr>
    </w:lvl>
    <w:lvl w:ilvl="7">
      <w:start w:val="1"/>
      <w:numFmt w:val="decimal"/>
      <w:isLgl/>
      <w:lvlText w:val="%1.%2.%3.%4.%5.%6.%7.%8."/>
      <w:lvlJc w:val="left"/>
      <w:pPr>
        <w:ind w:left="29736" w:hanging="2520"/>
      </w:pPr>
      <w:rPr>
        <w:rFonts w:hint="default"/>
      </w:rPr>
    </w:lvl>
    <w:lvl w:ilvl="8">
      <w:start w:val="1"/>
      <w:numFmt w:val="decimal"/>
      <w:isLgl/>
      <w:lvlText w:val="%1.%2.%3.%4.%5.%6.%7.%8.%9."/>
      <w:lvlJc w:val="left"/>
      <w:pPr>
        <w:ind w:left="-31264" w:hanging="2520"/>
      </w:pPr>
      <w:rPr>
        <w:rFonts w:hint="default"/>
      </w:rPr>
    </w:lvl>
  </w:abstractNum>
  <w:abstractNum w:abstractNumId="5">
    <w:nsid w:val="44414597"/>
    <w:multiLevelType w:val="hybridMultilevel"/>
    <w:tmpl w:val="97B8FC66"/>
    <w:lvl w:ilvl="0" w:tplc="41141CBC">
      <w:start w:val="1"/>
      <w:numFmt w:val="decimal"/>
      <w:pStyle w:val="Style5"/>
      <w:suff w:val="space"/>
      <w:lvlText w:val="5.%1."/>
      <w:lvlJc w:val="left"/>
      <w:pPr>
        <w:ind w:left="0" w:firstLine="360"/>
      </w:pPr>
      <w:rPr>
        <w:rFonts w:hint="default"/>
      </w:rPr>
    </w:lvl>
    <w:lvl w:ilvl="1" w:tplc="A1EE9144" w:tentative="1">
      <w:start w:val="1"/>
      <w:numFmt w:val="lowerLetter"/>
      <w:lvlText w:val="%2."/>
      <w:lvlJc w:val="left"/>
      <w:pPr>
        <w:ind w:left="1440" w:hanging="360"/>
      </w:pPr>
    </w:lvl>
    <w:lvl w:ilvl="2" w:tplc="7A5451FA" w:tentative="1">
      <w:start w:val="1"/>
      <w:numFmt w:val="lowerRoman"/>
      <w:lvlText w:val="%3."/>
      <w:lvlJc w:val="right"/>
      <w:pPr>
        <w:ind w:left="2160" w:hanging="180"/>
      </w:pPr>
    </w:lvl>
    <w:lvl w:ilvl="3" w:tplc="5AD0707A" w:tentative="1">
      <w:start w:val="1"/>
      <w:numFmt w:val="decimal"/>
      <w:lvlText w:val="%4."/>
      <w:lvlJc w:val="left"/>
      <w:pPr>
        <w:ind w:left="2880" w:hanging="360"/>
      </w:pPr>
    </w:lvl>
    <w:lvl w:ilvl="4" w:tplc="6A7A4858" w:tentative="1">
      <w:start w:val="1"/>
      <w:numFmt w:val="lowerLetter"/>
      <w:lvlText w:val="%5."/>
      <w:lvlJc w:val="left"/>
      <w:pPr>
        <w:ind w:left="3600" w:hanging="360"/>
      </w:pPr>
    </w:lvl>
    <w:lvl w:ilvl="5" w:tplc="AC48FC64" w:tentative="1">
      <w:start w:val="1"/>
      <w:numFmt w:val="lowerRoman"/>
      <w:lvlText w:val="%6."/>
      <w:lvlJc w:val="right"/>
      <w:pPr>
        <w:ind w:left="4320" w:hanging="180"/>
      </w:pPr>
    </w:lvl>
    <w:lvl w:ilvl="6" w:tplc="191225E4" w:tentative="1">
      <w:start w:val="1"/>
      <w:numFmt w:val="decimal"/>
      <w:lvlText w:val="%7."/>
      <w:lvlJc w:val="left"/>
      <w:pPr>
        <w:ind w:left="5040" w:hanging="360"/>
      </w:pPr>
    </w:lvl>
    <w:lvl w:ilvl="7" w:tplc="EBA6D1F2" w:tentative="1">
      <w:start w:val="1"/>
      <w:numFmt w:val="lowerLetter"/>
      <w:lvlText w:val="%8."/>
      <w:lvlJc w:val="left"/>
      <w:pPr>
        <w:ind w:left="5760" w:hanging="360"/>
      </w:pPr>
    </w:lvl>
    <w:lvl w:ilvl="8" w:tplc="E7DA433C" w:tentative="1">
      <w:start w:val="1"/>
      <w:numFmt w:val="lowerRoman"/>
      <w:lvlText w:val="%9."/>
      <w:lvlJc w:val="right"/>
      <w:pPr>
        <w:ind w:left="6480" w:hanging="180"/>
      </w:pPr>
    </w:lvl>
  </w:abstractNum>
  <w:abstractNum w:abstractNumId="6">
    <w:nsid w:val="48B92C31"/>
    <w:multiLevelType w:val="hybridMultilevel"/>
    <w:tmpl w:val="6C56BF1C"/>
    <w:lvl w:ilvl="0" w:tplc="2B085508">
      <w:start w:val="1"/>
      <w:numFmt w:val="decimal"/>
      <w:lvlText w:val="%1."/>
      <w:lvlJc w:val="left"/>
      <w:pPr>
        <w:ind w:left="720" w:hanging="360"/>
      </w:pPr>
      <w:rPr>
        <w:rFonts w:hint="default"/>
        <w:b/>
      </w:rPr>
    </w:lvl>
    <w:lvl w:ilvl="1" w:tplc="87040308" w:tentative="1">
      <w:start w:val="1"/>
      <w:numFmt w:val="lowerLetter"/>
      <w:lvlText w:val="%2."/>
      <w:lvlJc w:val="left"/>
      <w:pPr>
        <w:ind w:left="1440" w:hanging="360"/>
      </w:pPr>
    </w:lvl>
    <w:lvl w:ilvl="2" w:tplc="9F10B7B4" w:tentative="1">
      <w:start w:val="1"/>
      <w:numFmt w:val="lowerRoman"/>
      <w:lvlText w:val="%3."/>
      <w:lvlJc w:val="right"/>
      <w:pPr>
        <w:ind w:left="2160" w:hanging="180"/>
      </w:pPr>
    </w:lvl>
    <w:lvl w:ilvl="3" w:tplc="202EDD34" w:tentative="1">
      <w:start w:val="1"/>
      <w:numFmt w:val="decimal"/>
      <w:lvlText w:val="%4."/>
      <w:lvlJc w:val="left"/>
      <w:pPr>
        <w:ind w:left="2880" w:hanging="360"/>
      </w:pPr>
    </w:lvl>
    <w:lvl w:ilvl="4" w:tplc="D5AA6846" w:tentative="1">
      <w:start w:val="1"/>
      <w:numFmt w:val="lowerLetter"/>
      <w:lvlText w:val="%5."/>
      <w:lvlJc w:val="left"/>
      <w:pPr>
        <w:ind w:left="3600" w:hanging="360"/>
      </w:pPr>
    </w:lvl>
    <w:lvl w:ilvl="5" w:tplc="9C5848CC" w:tentative="1">
      <w:start w:val="1"/>
      <w:numFmt w:val="lowerRoman"/>
      <w:lvlText w:val="%6."/>
      <w:lvlJc w:val="right"/>
      <w:pPr>
        <w:ind w:left="4320" w:hanging="180"/>
      </w:pPr>
    </w:lvl>
    <w:lvl w:ilvl="6" w:tplc="2604E4EA" w:tentative="1">
      <w:start w:val="1"/>
      <w:numFmt w:val="decimal"/>
      <w:lvlText w:val="%7."/>
      <w:lvlJc w:val="left"/>
      <w:pPr>
        <w:ind w:left="5040" w:hanging="360"/>
      </w:pPr>
    </w:lvl>
    <w:lvl w:ilvl="7" w:tplc="80F8297A" w:tentative="1">
      <w:start w:val="1"/>
      <w:numFmt w:val="lowerLetter"/>
      <w:lvlText w:val="%8."/>
      <w:lvlJc w:val="left"/>
      <w:pPr>
        <w:ind w:left="5760" w:hanging="360"/>
      </w:pPr>
    </w:lvl>
    <w:lvl w:ilvl="8" w:tplc="8500AF18" w:tentative="1">
      <w:start w:val="1"/>
      <w:numFmt w:val="lowerRoman"/>
      <w:lvlText w:val="%9."/>
      <w:lvlJc w:val="right"/>
      <w:pPr>
        <w:ind w:left="6480" w:hanging="180"/>
      </w:pPr>
    </w:lvl>
  </w:abstractNum>
  <w:abstractNum w:abstractNumId="7">
    <w:nsid w:val="4CB9257B"/>
    <w:multiLevelType w:val="hybridMultilevel"/>
    <w:tmpl w:val="6A001550"/>
    <w:lvl w:ilvl="0" w:tplc="D42639D8">
      <w:start w:val="1"/>
      <w:numFmt w:val="decimal"/>
      <w:suff w:val="space"/>
      <w:lvlText w:val="4.%1."/>
      <w:lvlJc w:val="left"/>
      <w:pPr>
        <w:ind w:left="0" w:firstLine="0"/>
      </w:pPr>
      <w:rPr>
        <w:rFonts w:hint="default"/>
        <w:color w:val="auto"/>
      </w:rPr>
    </w:lvl>
    <w:lvl w:ilvl="1" w:tplc="9200894C" w:tentative="1">
      <w:start w:val="1"/>
      <w:numFmt w:val="lowerLetter"/>
      <w:lvlText w:val="%2."/>
      <w:lvlJc w:val="left"/>
      <w:pPr>
        <w:ind w:left="1440" w:hanging="360"/>
      </w:pPr>
    </w:lvl>
    <w:lvl w:ilvl="2" w:tplc="C93CB4E6" w:tentative="1">
      <w:start w:val="1"/>
      <w:numFmt w:val="lowerRoman"/>
      <w:lvlText w:val="%3."/>
      <w:lvlJc w:val="right"/>
      <w:pPr>
        <w:ind w:left="2160" w:hanging="180"/>
      </w:pPr>
    </w:lvl>
    <w:lvl w:ilvl="3" w:tplc="4B5EA390" w:tentative="1">
      <w:start w:val="1"/>
      <w:numFmt w:val="decimal"/>
      <w:lvlText w:val="%4."/>
      <w:lvlJc w:val="left"/>
      <w:pPr>
        <w:ind w:left="2880" w:hanging="360"/>
      </w:pPr>
    </w:lvl>
    <w:lvl w:ilvl="4" w:tplc="3BFCA204" w:tentative="1">
      <w:start w:val="1"/>
      <w:numFmt w:val="lowerLetter"/>
      <w:lvlText w:val="%5."/>
      <w:lvlJc w:val="left"/>
      <w:pPr>
        <w:ind w:left="3600" w:hanging="360"/>
      </w:pPr>
    </w:lvl>
    <w:lvl w:ilvl="5" w:tplc="EF647CF6" w:tentative="1">
      <w:start w:val="1"/>
      <w:numFmt w:val="lowerRoman"/>
      <w:lvlText w:val="%6."/>
      <w:lvlJc w:val="right"/>
      <w:pPr>
        <w:ind w:left="4320" w:hanging="180"/>
      </w:pPr>
    </w:lvl>
    <w:lvl w:ilvl="6" w:tplc="8916814E" w:tentative="1">
      <w:start w:val="1"/>
      <w:numFmt w:val="decimal"/>
      <w:lvlText w:val="%7."/>
      <w:lvlJc w:val="left"/>
      <w:pPr>
        <w:ind w:left="5040" w:hanging="360"/>
      </w:pPr>
    </w:lvl>
    <w:lvl w:ilvl="7" w:tplc="28E89A7A" w:tentative="1">
      <w:start w:val="1"/>
      <w:numFmt w:val="lowerLetter"/>
      <w:lvlText w:val="%8."/>
      <w:lvlJc w:val="left"/>
      <w:pPr>
        <w:ind w:left="5760" w:hanging="360"/>
      </w:pPr>
    </w:lvl>
    <w:lvl w:ilvl="8" w:tplc="D77EA214" w:tentative="1">
      <w:start w:val="1"/>
      <w:numFmt w:val="lowerRoman"/>
      <w:lvlText w:val="%9."/>
      <w:lvlJc w:val="right"/>
      <w:pPr>
        <w:ind w:left="6480" w:hanging="180"/>
      </w:pPr>
    </w:lvl>
  </w:abstractNum>
  <w:abstractNum w:abstractNumId="8">
    <w:nsid w:val="4CBF7B25"/>
    <w:multiLevelType w:val="multilevel"/>
    <w:tmpl w:val="1A14DBF8"/>
    <w:lvl w:ilvl="0">
      <w:start w:val="6"/>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537274F7"/>
    <w:multiLevelType w:val="multilevel"/>
    <w:tmpl w:val="00F40986"/>
    <w:lvl w:ilvl="0">
      <w:start w:val="2"/>
      <w:numFmt w:val="decimal"/>
      <w:lvlText w:val="%1."/>
      <w:lvlJc w:val="left"/>
      <w:pPr>
        <w:ind w:left="450" w:hanging="45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3348" w:hanging="108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10098" w:hanging="2160"/>
      </w:pPr>
      <w:rPr>
        <w:rFonts w:hint="default"/>
      </w:rPr>
    </w:lvl>
    <w:lvl w:ilvl="8">
      <w:start w:val="1"/>
      <w:numFmt w:val="decimal"/>
      <w:lvlText w:val="%1.%2.%3.%4.%5.%6.%7.%8.%9."/>
      <w:lvlJc w:val="left"/>
      <w:pPr>
        <w:ind w:left="11592" w:hanging="2520"/>
      </w:pPr>
      <w:rPr>
        <w:rFonts w:hint="default"/>
      </w:rPr>
    </w:lvl>
  </w:abstractNum>
  <w:abstractNum w:abstractNumId="10">
    <w:nsid w:val="54DA7FF5"/>
    <w:multiLevelType w:val="hybridMultilevel"/>
    <w:tmpl w:val="C1EAA330"/>
    <w:lvl w:ilvl="0" w:tplc="B4E666DE">
      <w:start w:val="2"/>
      <w:numFmt w:val="bullet"/>
      <w:lvlText w:val=""/>
      <w:lvlJc w:val="left"/>
      <w:pPr>
        <w:ind w:left="720" w:hanging="360"/>
      </w:pPr>
      <w:rPr>
        <w:rFonts w:ascii="Symbol" w:eastAsia="Calibri" w:hAnsi="Symbol" w:cs="Times New Roman" w:hint="default"/>
      </w:rPr>
    </w:lvl>
    <w:lvl w:ilvl="1" w:tplc="CD282BAE" w:tentative="1">
      <w:start w:val="1"/>
      <w:numFmt w:val="bullet"/>
      <w:lvlText w:val="o"/>
      <w:lvlJc w:val="left"/>
      <w:pPr>
        <w:ind w:left="1440" w:hanging="360"/>
      </w:pPr>
      <w:rPr>
        <w:rFonts w:ascii="Courier New" w:hAnsi="Courier New" w:cs="Courier New" w:hint="default"/>
      </w:rPr>
    </w:lvl>
    <w:lvl w:ilvl="2" w:tplc="156044C4" w:tentative="1">
      <w:start w:val="1"/>
      <w:numFmt w:val="bullet"/>
      <w:lvlText w:val=""/>
      <w:lvlJc w:val="left"/>
      <w:pPr>
        <w:ind w:left="2160" w:hanging="360"/>
      </w:pPr>
      <w:rPr>
        <w:rFonts w:ascii="Wingdings" w:hAnsi="Wingdings" w:hint="default"/>
      </w:rPr>
    </w:lvl>
    <w:lvl w:ilvl="3" w:tplc="A5AC5BB4" w:tentative="1">
      <w:start w:val="1"/>
      <w:numFmt w:val="bullet"/>
      <w:lvlText w:val=""/>
      <w:lvlJc w:val="left"/>
      <w:pPr>
        <w:ind w:left="2880" w:hanging="360"/>
      </w:pPr>
      <w:rPr>
        <w:rFonts w:ascii="Symbol" w:hAnsi="Symbol" w:hint="default"/>
      </w:rPr>
    </w:lvl>
    <w:lvl w:ilvl="4" w:tplc="7D406052" w:tentative="1">
      <w:start w:val="1"/>
      <w:numFmt w:val="bullet"/>
      <w:lvlText w:val="o"/>
      <w:lvlJc w:val="left"/>
      <w:pPr>
        <w:ind w:left="3600" w:hanging="360"/>
      </w:pPr>
      <w:rPr>
        <w:rFonts w:ascii="Courier New" w:hAnsi="Courier New" w:cs="Courier New" w:hint="default"/>
      </w:rPr>
    </w:lvl>
    <w:lvl w:ilvl="5" w:tplc="8FB494D2" w:tentative="1">
      <w:start w:val="1"/>
      <w:numFmt w:val="bullet"/>
      <w:lvlText w:val=""/>
      <w:lvlJc w:val="left"/>
      <w:pPr>
        <w:ind w:left="4320" w:hanging="360"/>
      </w:pPr>
      <w:rPr>
        <w:rFonts w:ascii="Wingdings" w:hAnsi="Wingdings" w:hint="default"/>
      </w:rPr>
    </w:lvl>
    <w:lvl w:ilvl="6" w:tplc="EB2EE786" w:tentative="1">
      <w:start w:val="1"/>
      <w:numFmt w:val="bullet"/>
      <w:lvlText w:val=""/>
      <w:lvlJc w:val="left"/>
      <w:pPr>
        <w:ind w:left="5040" w:hanging="360"/>
      </w:pPr>
      <w:rPr>
        <w:rFonts w:ascii="Symbol" w:hAnsi="Symbol" w:hint="default"/>
      </w:rPr>
    </w:lvl>
    <w:lvl w:ilvl="7" w:tplc="7B4CB3E2" w:tentative="1">
      <w:start w:val="1"/>
      <w:numFmt w:val="bullet"/>
      <w:lvlText w:val="o"/>
      <w:lvlJc w:val="left"/>
      <w:pPr>
        <w:ind w:left="5760" w:hanging="360"/>
      </w:pPr>
      <w:rPr>
        <w:rFonts w:ascii="Courier New" w:hAnsi="Courier New" w:cs="Courier New" w:hint="default"/>
      </w:rPr>
    </w:lvl>
    <w:lvl w:ilvl="8" w:tplc="7E9EDD1A" w:tentative="1">
      <w:start w:val="1"/>
      <w:numFmt w:val="bullet"/>
      <w:lvlText w:val=""/>
      <w:lvlJc w:val="left"/>
      <w:pPr>
        <w:ind w:left="6480" w:hanging="360"/>
      </w:pPr>
      <w:rPr>
        <w:rFonts w:ascii="Wingdings" w:hAnsi="Wingdings" w:hint="default"/>
      </w:rPr>
    </w:lvl>
  </w:abstractNum>
  <w:abstractNum w:abstractNumId="11">
    <w:nsid w:val="56776C6D"/>
    <w:multiLevelType w:val="hybridMultilevel"/>
    <w:tmpl w:val="D3FCE510"/>
    <w:lvl w:ilvl="0" w:tplc="84702DE0">
      <w:start w:val="2"/>
      <w:numFmt w:val="decimal"/>
      <w:lvlText w:val="%1."/>
      <w:lvlJc w:val="left"/>
      <w:pPr>
        <w:ind w:left="720" w:hanging="360"/>
      </w:pPr>
      <w:rPr>
        <w:rFonts w:hint="default"/>
      </w:rPr>
    </w:lvl>
    <w:lvl w:ilvl="1" w:tplc="332A1AC2" w:tentative="1">
      <w:start w:val="1"/>
      <w:numFmt w:val="lowerLetter"/>
      <w:lvlText w:val="%2."/>
      <w:lvlJc w:val="left"/>
      <w:pPr>
        <w:ind w:left="1440" w:hanging="360"/>
      </w:pPr>
    </w:lvl>
    <w:lvl w:ilvl="2" w:tplc="06C4F776" w:tentative="1">
      <w:start w:val="1"/>
      <w:numFmt w:val="lowerRoman"/>
      <w:lvlText w:val="%3."/>
      <w:lvlJc w:val="right"/>
      <w:pPr>
        <w:ind w:left="2160" w:hanging="180"/>
      </w:pPr>
    </w:lvl>
    <w:lvl w:ilvl="3" w:tplc="1F2E717C" w:tentative="1">
      <w:start w:val="1"/>
      <w:numFmt w:val="decimal"/>
      <w:lvlText w:val="%4."/>
      <w:lvlJc w:val="left"/>
      <w:pPr>
        <w:ind w:left="2880" w:hanging="360"/>
      </w:pPr>
    </w:lvl>
    <w:lvl w:ilvl="4" w:tplc="0B0E6DC0" w:tentative="1">
      <w:start w:val="1"/>
      <w:numFmt w:val="lowerLetter"/>
      <w:lvlText w:val="%5."/>
      <w:lvlJc w:val="left"/>
      <w:pPr>
        <w:ind w:left="3600" w:hanging="360"/>
      </w:pPr>
    </w:lvl>
    <w:lvl w:ilvl="5" w:tplc="DD221B14" w:tentative="1">
      <w:start w:val="1"/>
      <w:numFmt w:val="lowerRoman"/>
      <w:lvlText w:val="%6."/>
      <w:lvlJc w:val="right"/>
      <w:pPr>
        <w:ind w:left="4320" w:hanging="180"/>
      </w:pPr>
    </w:lvl>
    <w:lvl w:ilvl="6" w:tplc="0D70D1DE" w:tentative="1">
      <w:start w:val="1"/>
      <w:numFmt w:val="decimal"/>
      <w:lvlText w:val="%7."/>
      <w:lvlJc w:val="left"/>
      <w:pPr>
        <w:ind w:left="5040" w:hanging="360"/>
      </w:pPr>
    </w:lvl>
    <w:lvl w:ilvl="7" w:tplc="BFA2241C" w:tentative="1">
      <w:start w:val="1"/>
      <w:numFmt w:val="lowerLetter"/>
      <w:lvlText w:val="%8."/>
      <w:lvlJc w:val="left"/>
      <w:pPr>
        <w:ind w:left="5760" w:hanging="360"/>
      </w:pPr>
    </w:lvl>
    <w:lvl w:ilvl="8" w:tplc="D14AAC74" w:tentative="1">
      <w:start w:val="1"/>
      <w:numFmt w:val="lowerRoman"/>
      <w:lvlText w:val="%9."/>
      <w:lvlJc w:val="right"/>
      <w:pPr>
        <w:ind w:left="6480" w:hanging="180"/>
      </w:pPr>
    </w:lvl>
  </w:abstractNum>
  <w:abstractNum w:abstractNumId="12">
    <w:nsid w:val="69FB05BE"/>
    <w:multiLevelType w:val="multilevel"/>
    <w:tmpl w:val="BFC6A3CA"/>
    <w:lvl w:ilvl="0">
      <w:start w:val="1"/>
      <w:numFmt w:val="decimal"/>
      <w:lvlText w:val="%1."/>
      <w:lvlJc w:val="left"/>
      <w:pPr>
        <w:ind w:left="420" w:hanging="420"/>
      </w:pPr>
      <w:rPr>
        <w:rFonts w:hint="default"/>
      </w:rPr>
    </w:lvl>
    <w:lvl w:ilvl="1">
      <w:start w:val="1"/>
      <w:numFmt w:val="decimal"/>
      <w:lvlText w:val="%1.%2."/>
      <w:lvlJc w:val="left"/>
      <w:pPr>
        <w:ind w:left="720" w:hanging="720"/>
      </w:pPr>
      <w:rPr>
        <w:rFonts w:ascii="Tahoma" w:hAnsi="Tahoma" w:cs="Tahoma"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nsid w:val="6B2F3E9C"/>
    <w:multiLevelType w:val="multilevel"/>
    <w:tmpl w:val="D8B660D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6F334A34"/>
    <w:multiLevelType w:val="hybridMultilevel"/>
    <w:tmpl w:val="A2D8D616"/>
    <w:lvl w:ilvl="0" w:tplc="AAAAF154">
      <w:start w:val="1"/>
      <w:numFmt w:val="decimal"/>
      <w:pStyle w:val="Heading3II"/>
      <w:suff w:val="space"/>
      <w:lvlText w:val="%1."/>
      <w:lvlJc w:val="left"/>
      <w:pPr>
        <w:ind w:left="0" w:hanging="4536"/>
      </w:pPr>
      <w:rPr>
        <w:rFonts w:hint="default"/>
      </w:rPr>
    </w:lvl>
    <w:lvl w:ilvl="1" w:tplc="AE42ACD4" w:tentative="1">
      <w:start w:val="1"/>
      <w:numFmt w:val="lowerLetter"/>
      <w:lvlText w:val="%2."/>
      <w:lvlJc w:val="left"/>
      <w:pPr>
        <w:ind w:left="-3096" w:hanging="360"/>
      </w:pPr>
    </w:lvl>
    <w:lvl w:ilvl="2" w:tplc="CAFE052C" w:tentative="1">
      <w:start w:val="1"/>
      <w:numFmt w:val="lowerRoman"/>
      <w:lvlText w:val="%3."/>
      <w:lvlJc w:val="right"/>
      <w:pPr>
        <w:ind w:left="-2376" w:hanging="180"/>
      </w:pPr>
    </w:lvl>
    <w:lvl w:ilvl="3" w:tplc="BB0E8042" w:tentative="1">
      <w:start w:val="1"/>
      <w:numFmt w:val="decimal"/>
      <w:lvlText w:val="%4."/>
      <w:lvlJc w:val="left"/>
      <w:pPr>
        <w:ind w:left="-1656" w:hanging="360"/>
      </w:pPr>
    </w:lvl>
    <w:lvl w:ilvl="4" w:tplc="E20ED012" w:tentative="1">
      <w:start w:val="1"/>
      <w:numFmt w:val="lowerLetter"/>
      <w:lvlText w:val="%5."/>
      <w:lvlJc w:val="left"/>
      <w:pPr>
        <w:ind w:left="-936" w:hanging="360"/>
      </w:pPr>
    </w:lvl>
    <w:lvl w:ilvl="5" w:tplc="C1CAF54E" w:tentative="1">
      <w:start w:val="1"/>
      <w:numFmt w:val="lowerRoman"/>
      <w:lvlText w:val="%6."/>
      <w:lvlJc w:val="right"/>
      <w:pPr>
        <w:ind w:left="-216" w:hanging="180"/>
      </w:pPr>
    </w:lvl>
    <w:lvl w:ilvl="6" w:tplc="36804854" w:tentative="1">
      <w:start w:val="1"/>
      <w:numFmt w:val="decimal"/>
      <w:lvlText w:val="%7."/>
      <w:lvlJc w:val="left"/>
      <w:pPr>
        <w:ind w:left="504" w:hanging="360"/>
      </w:pPr>
    </w:lvl>
    <w:lvl w:ilvl="7" w:tplc="2C008728" w:tentative="1">
      <w:start w:val="1"/>
      <w:numFmt w:val="lowerLetter"/>
      <w:lvlText w:val="%8."/>
      <w:lvlJc w:val="left"/>
      <w:pPr>
        <w:ind w:left="1224" w:hanging="360"/>
      </w:pPr>
    </w:lvl>
    <w:lvl w:ilvl="8" w:tplc="8BDCF8BE" w:tentative="1">
      <w:start w:val="1"/>
      <w:numFmt w:val="lowerRoman"/>
      <w:lvlText w:val="%9."/>
      <w:lvlJc w:val="right"/>
      <w:pPr>
        <w:ind w:left="1944" w:hanging="180"/>
      </w:pPr>
    </w:lvl>
  </w:abstractNum>
  <w:abstractNum w:abstractNumId="15">
    <w:nsid w:val="70AE220D"/>
    <w:multiLevelType w:val="hybridMultilevel"/>
    <w:tmpl w:val="472CBD76"/>
    <w:lvl w:ilvl="0" w:tplc="3DA8B9AC">
      <w:start w:val="1"/>
      <w:numFmt w:val="decimal"/>
      <w:lvlText w:val="%1."/>
      <w:lvlJc w:val="left"/>
      <w:pPr>
        <w:ind w:left="720" w:hanging="360"/>
      </w:pPr>
      <w:rPr>
        <w:rFonts w:hint="default"/>
      </w:rPr>
    </w:lvl>
    <w:lvl w:ilvl="1" w:tplc="6EF63BC0" w:tentative="1">
      <w:start w:val="1"/>
      <w:numFmt w:val="lowerLetter"/>
      <w:lvlText w:val="%2."/>
      <w:lvlJc w:val="left"/>
      <w:pPr>
        <w:ind w:left="1440" w:hanging="360"/>
      </w:pPr>
    </w:lvl>
    <w:lvl w:ilvl="2" w:tplc="B2C4B18C" w:tentative="1">
      <w:start w:val="1"/>
      <w:numFmt w:val="lowerRoman"/>
      <w:lvlText w:val="%3."/>
      <w:lvlJc w:val="right"/>
      <w:pPr>
        <w:ind w:left="2160" w:hanging="180"/>
      </w:pPr>
    </w:lvl>
    <w:lvl w:ilvl="3" w:tplc="C18A7CFA" w:tentative="1">
      <w:start w:val="1"/>
      <w:numFmt w:val="decimal"/>
      <w:lvlText w:val="%4."/>
      <w:lvlJc w:val="left"/>
      <w:pPr>
        <w:ind w:left="2880" w:hanging="360"/>
      </w:pPr>
    </w:lvl>
    <w:lvl w:ilvl="4" w:tplc="20140F18" w:tentative="1">
      <w:start w:val="1"/>
      <w:numFmt w:val="lowerLetter"/>
      <w:lvlText w:val="%5."/>
      <w:lvlJc w:val="left"/>
      <w:pPr>
        <w:ind w:left="3600" w:hanging="360"/>
      </w:pPr>
    </w:lvl>
    <w:lvl w:ilvl="5" w:tplc="60481D7E" w:tentative="1">
      <w:start w:val="1"/>
      <w:numFmt w:val="lowerRoman"/>
      <w:lvlText w:val="%6."/>
      <w:lvlJc w:val="right"/>
      <w:pPr>
        <w:ind w:left="4320" w:hanging="180"/>
      </w:pPr>
    </w:lvl>
    <w:lvl w:ilvl="6" w:tplc="C3BEF770" w:tentative="1">
      <w:start w:val="1"/>
      <w:numFmt w:val="decimal"/>
      <w:lvlText w:val="%7."/>
      <w:lvlJc w:val="left"/>
      <w:pPr>
        <w:ind w:left="5040" w:hanging="360"/>
      </w:pPr>
    </w:lvl>
    <w:lvl w:ilvl="7" w:tplc="325C6800" w:tentative="1">
      <w:start w:val="1"/>
      <w:numFmt w:val="lowerLetter"/>
      <w:lvlText w:val="%8."/>
      <w:lvlJc w:val="left"/>
      <w:pPr>
        <w:ind w:left="5760" w:hanging="360"/>
      </w:pPr>
    </w:lvl>
    <w:lvl w:ilvl="8" w:tplc="6192A7CE" w:tentative="1">
      <w:start w:val="1"/>
      <w:numFmt w:val="lowerRoman"/>
      <w:lvlText w:val="%9."/>
      <w:lvlJc w:val="right"/>
      <w:pPr>
        <w:ind w:left="6480" w:hanging="180"/>
      </w:pPr>
    </w:lvl>
  </w:abstractNum>
  <w:abstractNum w:abstractNumId="16">
    <w:nsid w:val="73DA4CCB"/>
    <w:multiLevelType w:val="multilevel"/>
    <w:tmpl w:val="602CE2A6"/>
    <w:lvl w:ilvl="0">
      <w:start w:val="1"/>
      <w:numFmt w:val="decimal"/>
      <w:lvlText w:val="%1."/>
      <w:lvlJc w:val="left"/>
      <w:pPr>
        <w:ind w:left="360" w:hanging="360"/>
      </w:pPr>
      <w:rPr>
        <w:rFonts w:hint="default"/>
      </w:rPr>
    </w:lvl>
    <w:lvl w:ilvl="1">
      <w:start w:val="1"/>
      <w:numFmt w:val="decimal"/>
      <w:lvlText w:val="%1.%2."/>
      <w:lvlJc w:val="left"/>
      <w:pPr>
        <w:ind w:left="43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50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6531EDC"/>
    <w:multiLevelType w:val="hybridMultilevel"/>
    <w:tmpl w:val="96A22E76"/>
    <w:lvl w:ilvl="0" w:tplc="08B462FA">
      <w:start w:val="1"/>
      <w:numFmt w:val="decimal"/>
      <w:pStyle w:val="Heding2II"/>
      <w:suff w:val="space"/>
      <w:lvlText w:val="%1."/>
      <w:lvlJc w:val="left"/>
      <w:pPr>
        <w:ind w:left="0" w:hanging="4536"/>
      </w:pPr>
      <w:rPr>
        <w:rFonts w:hint="default"/>
      </w:rPr>
    </w:lvl>
    <w:lvl w:ilvl="1" w:tplc="999A3A0A" w:tentative="1">
      <w:start w:val="1"/>
      <w:numFmt w:val="lowerLetter"/>
      <w:lvlText w:val="%2."/>
      <w:lvlJc w:val="left"/>
      <w:pPr>
        <w:ind w:left="1440" w:hanging="360"/>
      </w:pPr>
    </w:lvl>
    <w:lvl w:ilvl="2" w:tplc="131A4F42" w:tentative="1">
      <w:start w:val="1"/>
      <w:numFmt w:val="lowerRoman"/>
      <w:lvlText w:val="%3."/>
      <w:lvlJc w:val="right"/>
      <w:pPr>
        <w:ind w:left="2160" w:hanging="180"/>
      </w:pPr>
    </w:lvl>
    <w:lvl w:ilvl="3" w:tplc="F9FA9932" w:tentative="1">
      <w:start w:val="1"/>
      <w:numFmt w:val="decimal"/>
      <w:lvlText w:val="%4."/>
      <w:lvlJc w:val="left"/>
      <w:pPr>
        <w:ind w:left="2880" w:hanging="360"/>
      </w:pPr>
    </w:lvl>
    <w:lvl w:ilvl="4" w:tplc="838AB734" w:tentative="1">
      <w:start w:val="1"/>
      <w:numFmt w:val="lowerLetter"/>
      <w:lvlText w:val="%5."/>
      <w:lvlJc w:val="left"/>
      <w:pPr>
        <w:ind w:left="3600" w:hanging="360"/>
      </w:pPr>
    </w:lvl>
    <w:lvl w:ilvl="5" w:tplc="BA7EEA72" w:tentative="1">
      <w:start w:val="1"/>
      <w:numFmt w:val="lowerRoman"/>
      <w:lvlText w:val="%6."/>
      <w:lvlJc w:val="right"/>
      <w:pPr>
        <w:ind w:left="4320" w:hanging="180"/>
      </w:pPr>
    </w:lvl>
    <w:lvl w:ilvl="6" w:tplc="CFC09E9C" w:tentative="1">
      <w:start w:val="1"/>
      <w:numFmt w:val="decimal"/>
      <w:lvlText w:val="%7."/>
      <w:lvlJc w:val="left"/>
      <w:pPr>
        <w:ind w:left="5040" w:hanging="360"/>
      </w:pPr>
    </w:lvl>
    <w:lvl w:ilvl="7" w:tplc="4A08ABCE" w:tentative="1">
      <w:start w:val="1"/>
      <w:numFmt w:val="lowerLetter"/>
      <w:lvlText w:val="%8."/>
      <w:lvlJc w:val="left"/>
      <w:pPr>
        <w:ind w:left="5760" w:hanging="360"/>
      </w:pPr>
    </w:lvl>
    <w:lvl w:ilvl="8" w:tplc="A29A9A4A" w:tentative="1">
      <w:start w:val="1"/>
      <w:numFmt w:val="lowerRoman"/>
      <w:lvlText w:val="%9."/>
      <w:lvlJc w:val="right"/>
      <w:pPr>
        <w:ind w:left="6480" w:hanging="180"/>
      </w:pPr>
    </w:lvl>
  </w:abstractNum>
  <w:abstractNum w:abstractNumId="18">
    <w:nsid w:val="78407AFC"/>
    <w:multiLevelType w:val="hybridMultilevel"/>
    <w:tmpl w:val="0D8632B0"/>
    <w:lvl w:ilvl="0" w:tplc="78A01E06">
      <w:numFmt w:val="bullet"/>
      <w:lvlText w:val="-"/>
      <w:lvlJc w:val="left"/>
      <w:pPr>
        <w:ind w:left="720" w:hanging="360"/>
      </w:pPr>
      <w:rPr>
        <w:rFonts w:ascii="Tahoma" w:eastAsia="Calibri" w:hAnsi="Tahoma" w:cs="Tahoma" w:hint="default"/>
      </w:rPr>
    </w:lvl>
    <w:lvl w:ilvl="1" w:tplc="2160A214" w:tentative="1">
      <w:start w:val="1"/>
      <w:numFmt w:val="bullet"/>
      <w:lvlText w:val="o"/>
      <w:lvlJc w:val="left"/>
      <w:pPr>
        <w:ind w:left="1440" w:hanging="360"/>
      </w:pPr>
      <w:rPr>
        <w:rFonts w:ascii="Courier New" w:hAnsi="Courier New" w:cs="Courier New" w:hint="default"/>
      </w:rPr>
    </w:lvl>
    <w:lvl w:ilvl="2" w:tplc="65FE41F8" w:tentative="1">
      <w:start w:val="1"/>
      <w:numFmt w:val="bullet"/>
      <w:lvlText w:val=""/>
      <w:lvlJc w:val="left"/>
      <w:pPr>
        <w:ind w:left="2160" w:hanging="360"/>
      </w:pPr>
      <w:rPr>
        <w:rFonts w:ascii="Wingdings" w:hAnsi="Wingdings" w:hint="default"/>
      </w:rPr>
    </w:lvl>
    <w:lvl w:ilvl="3" w:tplc="517C6174" w:tentative="1">
      <w:start w:val="1"/>
      <w:numFmt w:val="bullet"/>
      <w:lvlText w:val=""/>
      <w:lvlJc w:val="left"/>
      <w:pPr>
        <w:ind w:left="2880" w:hanging="360"/>
      </w:pPr>
      <w:rPr>
        <w:rFonts w:ascii="Symbol" w:hAnsi="Symbol" w:hint="default"/>
      </w:rPr>
    </w:lvl>
    <w:lvl w:ilvl="4" w:tplc="08A87108" w:tentative="1">
      <w:start w:val="1"/>
      <w:numFmt w:val="bullet"/>
      <w:lvlText w:val="o"/>
      <w:lvlJc w:val="left"/>
      <w:pPr>
        <w:ind w:left="3600" w:hanging="360"/>
      </w:pPr>
      <w:rPr>
        <w:rFonts w:ascii="Courier New" w:hAnsi="Courier New" w:cs="Courier New" w:hint="default"/>
      </w:rPr>
    </w:lvl>
    <w:lvl w:ilvl="5" w:tplc="9B383DA2" w:tentative="1">
      <w:start w:val="1"/>
      <w:numFmt w:val="bullet"/>
      <w:lvlText w:val=""/>
      <w:lvlJc w:val="left"/>
      <w:pPr>
        <w:ind w:left="4320" w:hanging="360"/>
      </w:pPr>
      <w:rPr>
        <w:rFonts w:ascii="Wingdings" w:hAnsi="Wingdings" w:hint="default"/>
      </w:rPr>
    </w:lvl>
    <w:lvl w:ilvl="6" w:tplc="F6C0C102" w:tentative="1">
      <w:start w:val="1"/>
      <w:numFmt w:val="bullet"/>
      <w:lvlText w:val=""/>
      <w:lvlJc w:val="left"/>
      <w:pPr>
        <w:ind w:left="5040" w:hanging="360"/>
      </w:pPr>
      <w:rPr>
        <w:rFonts w:ascii="Symbol" w:hAnsi="Symbol" w:hint="default"/>
      </w:rPr>
    </w:lvl>
    <w:lvl w:ilvl="7" w:tplc="F0464DE6" w:tentative="1">
      <w:start w:val="1"/>
      <w:numFmt w:val="bullet"/>
      <w:lvlText w:val="o"/>
      <w:lvlJc w:val="left"/>
      <w:pPr>
        <w:ind w:left="5760" w:hanging="360"/>
      </w:pPr>
      <w:rPr>
        <w:rFonts w:ascii="Courier New" w:hAnsi="Courier New" w:cs="Courier New" w:hint="default"/>
      </w:rPr>
    </w:lvl>
    <w:lvl w:ilvl="8" w:tplc="FE965CF0" w:tentative="1">
      <w:start w:val="1"/>
      <w:numFmt w:val="bullet"/>
      <w:lvlText w:val=""/>
      <w:lvlJc w:val="left"/>
      <w:pPr>
        <w:ind w:left="6480" w:hanging="360"/>
      </w:pPr>
      <w:rPr>
        <w:rFonts w:ascii="Wingdings" w:hAnsi="Wingdings" w:hint="default"/>
      </w:rPr>
    </w:lvl>
  </w:abstractNum>
  <w:abstractNum w:abstractNumId="19">
    <w:nsid w:val="7EC21EE6"/>
    <w:multiLevelType w:val="multilevel"/>
    <w:tmpl w:val="4DD41614"/>
    <w:lvl w:ilvl="0">
      <w:start w:val="1"/>
      <w:numFmt w:val="upperRoman"/>
      <w:pStyle w:val="Heading1"/>
      <w:lvlText w:val="%1."/>
      <w:lvlJc w:val="left"/>
      <w:pPr>
        <w:ind w:left="-4176" w:hanging="360"/>
      </w:pPr>
      <w:rPr>
        <w:rFonts w:ascii="Tahoma" w:hAnsi="Tahoma" w:hint="default"/>
        <w:b/>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lvl w:ilvl="1">
      <w:start w:val="1"/>
      <w:numFmt w:val="decimal"/>
      <w:pStyle w:val="Heading2"/>
      <w:lvlText w:val="%2."/>
      <w:lvlJc w:val="left"/>
      <w:pPr>
        <w:ind w:left="397" w:hanging="397"/>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Heading3"/>
      <w:lvlText w:val="%2.%3."/>
      <w:lvlJc w:val="right"/>
      <w:pPr>
        <w:ind w:left="1134" w:firstLine="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lvlText w:val="%2.%3.%4."/>
      <w:lvlJc w:val="left"/>
      <w:pPr>
        <w:ind w:left="6464" w:firstLine="196"/>
      </w:pPr>
      <w:rPr>
        <w:rFonts w:ascii="Tahoma" w:hAnsi="Tahoma" w:hint="default"/>
        <w:b/>
        <w:i w:val="0"/>
        <w:sz w:val="22"/>
      </w:rPr>
    </w:lvl>
    <w:lvl w:ilvl="4">
      <w:start w:val="1"/>
      <w:numFmt w:val="decimal"/>
      <w:pStyle w:val="Heading5"/>
      <w:lvlText w:val="%2.%3.%4.%5."/>
      <w:lvlJc w:val="left"/>
      <w:pPr>
        <w:ind w:left="7740" w:hanging="360"/>
      </w:pPr>
      <w:rPr>
        <w:rFonts w:ascii="Tahoma" w:hAnsi="Tahoma" w:hint="default"/>
        <w:b/>
        <w:i w:val="0"/>
        <w:sz w:val="22"/>
      </w:rPr>
    </w:lvl>
    <w:lvl w:ilvl="5">
      <w:start w:val="1"/>
      <w:numFmt w:val="decimal"/>
      <w:pStyle w:val="Heading6"/>
      <w:lvlText w:val="%2.%3.%4.%5.%6."/>
      <w:lvlJc w:val="right"/>
      <w:pPr>
        <w:ind w:left="8460" w:hanging="180"/>
      </w:pPr>
      <w:rPr>
        <w:rFonts w:ascii="Tahoma" w:hAnsi="Tahoma" w:hint="default"/>
        <w:b/>
        <w:i w:val="0"/>
      </w:rPr>
    </w:lvl>
    <w:lvl w:ilvl="6">
      <w:start w:val="1"/>
      <w:numFmt w:val="decimal"/>
      <w:lvlText w:val="%7."/>
      <w:lvlJc w:val="left"/>
      <w:pPr>
        <w:ind w:left="9180" w:hanging="360"/>
      </w:pPr>
      <w:rPr>
        <w:rFonts w:hint="default"/>
      </w:rPr>
    </w:lvl>
    <w:lvl w:ilvl="7">
      <w:start w:val="1"/>
      <w:numFmt w:val="lowerLetter"/>
      <w:lvlText w:val="%8."/>
      <w:lvlJc w:val="left"/>
      <w:pPr>
        <w:ind w:left="9900" w:hanging="360"/>
      </w:pPr>
      <w:rPr>
        <w:rFonts w:hint="default"/>
      </w:rPr>
    </w:lvl>
    <w:lvl w:ilvl="8">
      <w:start w:val="1"/>
      <w:numFmt w:val="lowerRoman"/>
      <w:lvlText w:val="%9."/>
      <w:lvlJc w:val="right"/>
      <w:pPr>
        <w:ind w:left="10620" w:hanging="180"/>
      </w:pPr>
      <w:rPr>
        <w:rFonts w:hint="default"/>
      </w:rPr>
    </w:lvl>
  </w:abstractNum>
  <w:num w:numId="1">
    <w:abstractNumId w:val="19"/>
  </w:num>
  <w:num w:numId="2">
    <w:abstractNumId w:val="16"/>
  </w:num>
  <w:num w:numId="3">
    <w:abstractNumId w:val="15"/>
  </w:num>
  <w:num w:numId="4">
    <w:abstractNumId w:val="8"/>
  </w:num>
  <w:num w:numId="5">
    <w:abstractNumId w:val="11"/>
  </w:num>
  <w:num w:numId="6">
    <w:abstractNumId w:val="10"/>
  </w:num>
  <w:num w:numId="7">
    <w:abstractNumId w:val="12"/>
  </w:num>
  <w:num w:numId="8">
    <w:abstractNumId w:val="14"/>
  </w:num>
  <w:num w:numId="9">
    <w:abstractNumId w:val="6"/>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3"/>
  </w:num>
  <w:num w:numId="13">
    <w:abstractNumId w:val="5"/>
  </w:num>
  <w:num w:numId="14">
    <w:abstractNumId w:val="17"/>
  </w:num>
  <w:num w:numId="15">
    <w:abstractNumId w:val="7"/>
  </w:num>
  <w:num w:numId="16">
    <w:abstractNumId w:val="1"/>
  </w:num>
  <w:num w:numId="17">
    <w:abstractNumId w:val="4"/>
  </w:num>
  <w:num w:numId="18">
    <w:abstractNumId w:val="0"/>
  </w:num>
  <w:num w:numId="19">
    <w:abstractNumId w:val="18"/>
  </w:num>
  <w:num w:numId="20">
    <w:abstractNumId w:val="9"/>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9"/>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10"/>
  <w:displayHorizontalDrawingGridEvery w:val="2"/>
  <w:characterSpacingControl w:val="doNotCompress"/>
  <w:hdrShapeDefaults>
    <o:shapedefaults v:ext="edit" spidmax="120834"/>
  </w:hdrShapeDefaults>
  <w:footnotePr>
    <w:footnote w:id="-1"/>
    <w:footnote w:id="0"/>
  </w:footnotePr>
  <w:endnotePr>
    <w:endnote w:id="-1"/>
    <w:endnote w:id="0"/>
  </w:endnotePr>
  <w:compat/>
  <w:rsids>
    <w:rsidRoot w:val="001D7747"/>
    <w:rsid w:val="00000526"/>
    <w:rsid w:val="0000059E"/>
    <w:rsid w:val="000013C6"/>
    <w:rsid w:val="00002302"/>
    <w:rsid w:val="00004329"/>
    <w:rsid w:val="00004462"/>
    <w:rsid w:val="000046F7"/>
    <w:rsid w:val="00005E0D"/>
    <w:rsid w:val="00006CB7"/>
    <w:rsid w:val="00007266"/>
    <w:rsid w:val="000073AD"/>
    <w:rsid w:val="00007FAD"/>
    <w:rsid w:val="00011221"/>
    <w:rsid w:val="0001134F"/>
    <w:rsid w:val="00011559"/>
    <w:rsid w:val="000117C8"/>
    <w:rsid w:val="00013F6D"/>
    <w:rsid w:val="000147AD"/>
    <w:rsid w:val="00014DF8"/>
    <w:rsid w:val="00014F56"/>
    <w:rsid w:val="000161E8"/>
    <w:rsid w:val="00016415"/>
    <w:rsid w:val="000178F8"/>
    <w:rsid w:val="000206EE"/>
    <w:rsid w:val="0002093A"/>
    <w:rsid w:val="00021261"/>
    <w:rsid w:val="000214EB"/>
    <w:rsid w:val="000215C3"/>
    <w:rsid w:val="00022AC7"/>
    <w:rsid w:val="00024636"/>
    <w:rsid w:val="00024A51"/>
    <w:rsid w:val="00025CAD"/>
    <w:rsid w:val="00025D0B"/>
    <w:rsid w:val="00027103"/>
    <w:rsid w:val="000312C5"/>
    <w:rsid w:val="000316D7"/>
    <w:rsid w:val="000322E6"/>
    <w:rsid w:val="000324A2"/>
    <w:rsid w:val="0003384E"/>
    <w:rsid w:val="00033F2C"/>
    <w:rsid w:val="0003458F"/>
    <w:rsid w:val="0003513F"/>
    <w:rsid w:val="000351BE"/>
    <w:rsid w:val="00036098"/>
    <w:rsid w:val="00041242"/>
    <w:rsid w:val="00042484"/>
    <w:rsid w:val="000450FF"/>
    <w:rsid w:val="00047001"/>
    <w:rsid w:val="00050ECB"/>
    <w:rsid w:val="00052AF6"/>
    <w:rsid w:val="0005626C"/>
    <w:rsid w:val="00056801"/>
    <w:rsid w:val="0006163C"/>
    <w:rsid w:val="00061A24"/>
    <w:rsid w:val="00062196"/>
    <w:rsid w:val="000625D2"/>
    <w:rsid w:val="00064133"/>
    <w:rsid w:val="00064DD3"/>
    <w:rsid w:val="00065457"/>
    <w:rsid w:val="000659C4"/>
    <w:rsid w:val="00066213"/>
    <w:rsid w:val="000663DC"/>
    <w:rsid w:val="000668F4"/>
    <w:rsid w:val="000675CC"/>
    <w:rsid w:val="00070C1C"/>
    <w:rsid w:val="00070CB9"/>
    <w:rsid w:val="000719E5"/>
    <w:rsid w:val="00071DFC"/>
    <w:rsid w:val="000732A8"/>
    <w:rsid w:val="00074D5C"/>
    <w:rsid w:val="00077DA1"/>
    <w:rsid w:val="00077E8C"/>
    <w:rsid w:val="0008057C"/>
    <w:rsid w:val="00081EDE"/>
    <w:rsid w:val="000839F6"/>
    <w:rsid w:val="000855F4"/>
    <w:rsid w:val="00086B9C"/>
    <w:rsid w:val="00091896"/>
    <w:rsid w:val="000928A0"/>
    <w:rsid w:val="00093D1E"/>
    <w:rsid w:val="00095966"/>
    <w:rsid w:val="000A02E6"/>
    <w:rsid w:val="000A0B52"/>
    <w:rsid w:val="000A0B61"/>
    <w:rsid w:val="000A34CB"/>
    <w:rsid w:val="000A525F"/>
    <w:rsid w:val="000A5B8C"/>
    <w:rsid w:val="000A5DC8"/>
    <w:rsid w:val="000A632F"/>
    <w:rsid w:val="000A6AB9"/>
    <w:rsid w:val="000B115F"/>
    <w:rsid w:val="000B1546"/>
    <w:rsid w:val="000B1BE6"/>
    <w:rsid w:val="000B1D40"/>
    <w:rsid w:val="000B1EFA"/>
    <w:rsid w:val="000B299F"/>
    <w:rsid w:val="000B371F"/>
    <w:rsid w:val="000B3ED7"/>
    <w:rsid w:val="000B4805"/>
    <w:rsid w:val="000B50A5"/>
    <w:rsid w:val="000B51F9"/>
    <w:rsid w:val="000B5971"/>
    <w:rsid w:val="000B6A88"/>
    <w:rsid w:val="000B78F2"/>
    <w:rsid w:val="000C10D8"/>
    <w:rsid w:val="000C2844"/>
    <w:rsid w:val="000C400C"/>
    <w:rsid w:val="000C4470"/>
    <w:rsid w:val="000C6B42"/>
    <w:rsid w:val="000C7054"/>
    <w:rsid w:val="000C7570"/>
    <w:rsid w:val="000C7F2E"/>
    <w:rsid w:val="000D0012"/>
    <w:rsid w:val="000D01F6"/>
    <w:rsid w:val="000D0AAB"/>
    <w:rsid w:val="000D0B67"/>
    <w:rsid w:val="000D0D06"/>
    <w:rsid w:val="000D232A"/>
    <w:rsid w:val="000D2EAD"/>
    <w:rsid w:val="000D322C"/>
    <w:rsid w:val="000E34D3"/>
    <w:rsid w:val="000E4F35"/>
    <w:rsid w:val="000E5912"/>
    <w:rsid w:val="000E64FD"/>
    <w:rsid w:val="000E6736"/>
    <w:rsid w:val="000E7723"/>
    <w:rsid w:val="000E798D"/>
    <w:rsid w:val="000F0A03"/>
    <w:rsid w:val="000F0A1E"/>
    <w:rsid w:val="000F242E"/>
    <w:rsid w:val="000F3962"/>
    <w:rsid w:val="000F3B9E"/>
    <w:rsid w:val="000F514B"/>
    <w:rsid w:val="000F6163"/>
    <w:rsid w:val="000F6794"/>
    <w:rsid w:val="000F6F75"/>
    <w:rsid w:val="000F7000"/>
    <w:rsid w:val="000F7C28"/>
    <w:rsid w:val="001018B9"/>
    <w:rsid w:val="00103D55"/>
    <w:rsid w:val="0010427F"/>
    <w:rsid w:val="00105BD5"/>
    <w:rsid w:val="00106789"/>
    <w:rsid w:val="001107EC"/>
    <w:rsid w:val="00110A92"/>
    <w:rsid w:val="0011193E"/>
    <w:rsid w:val="001126F1"/>
    <w:rsid w:val="001129D1"/>
    <w:rsid w:val="0011492C"/>
    <w:rsid w:val="001150F4"/>
    <w:rsid w:val="00116403"/>
    <w:rsid w:val="00120480"/>
    <w:rsid w:val="001221BA"/>
    <w:rsid w:val="001263EE"/>
    <w:rsid w:val="00127B66"/>
    <w:rsid w:val="00127F03"/>
    <w:rsid w:val="00130896"/>
    <w:rsid w:val="00130CD5"/>
    <w:rsid w:val="00130F99"/>
    <w:rsid w:val="001316B9"/>
    <w:rsid w:val="00131F10"/>
    <w:rsid w:val="0013203F"/>
    <w:rsid w:val="00132760"/>
    <w:rsid w:val="00133306"/>
    <w:rsid w:val="0013424F"/>
    <w:rsid w:val="00136575"/>
    <w:rsid w:val="001420D9"/>
    <w:rsid w:val="00142892"/>
    <w:rsid w:val="001453D8"/>
    <w:rsid w:val="00145CF5"/>
    <w:rsid w:val="00146523"/>
    <w:rsid w:val="00146F94"/>
    <w:rsid w:val="001478CD"/>
    <w:rsid w:val="00147987"/>
    <w:rsid w:val="00147A64"/>
    <w:rsid w:val="00153BA8"/>
    <w:rsid w:val="00155781"/>
    <w:rsid w:val="00155A66"/>
    <w:rsid w:val="00155D70"/>
    <w:rsid w:val="00156285"/>
    <w:rsid w:val="0015693E"/>
    <w:rsid w:val="00156E34"/>
    <w:rsid w:val="00157BC5"/>
    <w:rsid w:val="00161F20"/>
    <w:rsid w:val="001633EA"/>
    <w:rsid w:val="00167878"/>
    <w:rsid w:val="00167B6A"/>
    <w:rsid w:val="00167E1C"/>
    <w:rsid w:val="001702C3"/>
    <w:rsid w:val="00170B83"/>
    <w:rsid w:val="00171489"/>
    <w:rsid w:val="0017211A"/>
    <w:rsid w:val="00172407"/>
    <w:rsid w:val="00172D54"/>
    <w:rsid w:val="00172E61"/>
    <w:rsid w:val="00177381"/>
    <w:rsid w:val="0018013E"/>
    <w:rsid w:val="00180938"/>
    <w:rsid w:val="00185565"/>
    <w:rsid w:val="00185899"/>
    <w:rsid w:val="00185EDA"/>
    <w:rsid w:val="00186007"/>
    <w:rsid w:val="001870F7"/>
    <w:rsid w:val="00187317"/>
    <w:rsid w:val="00191F23"/>
    <w:rsid w:val="001941CC"/>
    <w:rsid w:val="001941F2"/>
    <w:rsid w:val="001941FC"/>
    <w:rsid w:val="00194668"/>
    <w:rsid w:val="00194FDA"/>
    <w:rsid w:val="00195E71"/>
    <w:rsid w:val="00195ED1"/>
    <w:rsid w:val="001A0F07"/>
    <w:rsid w:val="001A0F7E"/>
    <w:rsid w:val="001A347A"/>
    <w:rsid w:val="001A34F6"/>
    <w:rsid w:val="001A4A23"/>
    <w:rsid w:val="001A5367"/>
    <w:rsid w:val="001A63CC"/>
    <w:rsid w:val="001A6B61"/>
    <w:rsid w:val="001A72A5"/>
    <w:rsid w:val="001B036E"/>
    <w:rsid w:val="001B22C8"/>
    <w:rsid w:val="001B35AA"/>
    <w:rsid w:val="001B3719"/>
    <w:rsid w:val="001B40D5"/>
    <w:rsid w:val="001B5223"/>
    <w:rsid w:val="001B7033"/>
    <w:rsid w:val="001B73A1"/>
    <w:rsid w:val="001C0FED"/>
    <w:rsid w:val="001C1AAA"/>
    <w:rsid w:val="001C203C"/>
    <w:rsid w:val="001C2257"/>
    <w:rsid w:val="001C3001"/>
    <w:rsid w:val="001C304E"/>
    <w:rsid w:val="001C3AB9"/>
    <w:rsid w:val="001C4365"/>
    <w:rsid w:val="001C4A7E"/>
    <w:rsid w:val="001C4B93"/>
    <w:rsid w:val="001C5794"/>
    <w:rsid w:val="001C6E5D"/>
    <w:rsid w:val="001C7719"/>
    <w:rsid w:val="001D42DF"/>
    <w:rsid w:val="001D4A37"/>
    <w:rsid w:val="001D4C72"/>
    <w:rsid w:val="001D4C9F"/>
    <w:rsid w:val="001D56CE"/>
    <w:rsid w:val="001D5B09"/>
    <w:rsid w:val="001D7747"/>
    <w:rsid w:val="001E0615"/>
    <w:rsid w:val="001E0BF0"/>
    <w:rsid w:val="001E0D56"/>
    <w:rsid w:val="001E2B8E"/>
    <w:rsid w:val="001E3F67"/>
    <w:rsid w:val="001E4660"/>
    <w:rsid w:val="001E5549"/>
    <w:rsid w:val="001E6F05"/>
    <w:rsid w:val="001E7568"/>
    <w:rsid w:val="001E7636"/>
    <w:rsid w:val="001F07D9"/>
    <w:rsid w:val="001F183E"/>
    <w:rsid w:val="001F21C4"/>
    <w:rsid w:val="001F2784"/>
    <w:rsid w:val="001F2A92"/>
    <w:rsid w:val="001F2BD8"/>
    <w:rsid w:val="001F3AED"/>
    <w:rsid w:val="001F5816"/>
    <w:rsid w:val="00200B5C"/>
    <w:rsid w:val="002013FF"/>
    <w:rsid w:val="00204291"/>
    <w:rsid w:val="0020483C"/>
    <w:rsid w:val="00204C5A"/>
    <w:rsid w:val="00205612"/>
    <w:rsid w:val="00205E87"/>
    <w:rsid w:val="00205EE8"/>
    <w:rsid w:val="00206FAD"/>
    <w:rsid w:val="00211100"/>
    <w:rsid w:val="00212484"/>
    <w:rsid w:val="00212B9C"/>
    <w:rsid w:val="00212CBB"/>
    <w:rsid w:val="00213993"/>
    <w:rsid w:val="0021411C"/>
    <w:rsid w:val="00214209"/>
    <w:rsid w:val="002142B3"/>
    <w:rsid w:val="002151B4"/>
    <w:rsid w:val="0021562F"/>
    <w:rsid w:val="002160C1"/>
    <w:rsid w:val="00216173"/>
    <w:rsid w:val="00216BE9"/>
    <w:rsid w:val="00217F34"/>
    <w:rsid w:val="002203D6"/>
    <w:rsid w:val="00220CDA"/>
    <w:rsid w:val="00223764"/>
    <w:rsid w:val="00224EB6"/>
    <w:rsid w:val="0022622F"/>
    <w:rsid w:val="002278AC"/>
    <w:rsid w:val="00236289"/>
    <w:rsid w:val="00241310"/>
    <w:rsid w:val="00242AC8"/>
    <w:rsid w:val="00245663"/>
    <w:rsid w:val="00245948"/>
    <w:rsid w:val="002465A2"/>
    <w:rsid w:val="002469F1"/>
    <w:rsid w:val="0025030C"/>
    <w:rsid w:val="00255373"/>
    <w:rsid w:val="0025790D"/>
    <w:rsid w:val="00260280"/>
    <w:rsid w:val="002608EA"/>
    <w:rsid w:val="00260DBE"/>
    <w:rsid w:val="002617F0"/>
    <w:rsid w:val="0026339C"/>
    <w:rsid w:val="00263A05"/>
    <w:rsid w:val="002643A3"/>
    <w:rsid w:val="00265A25"/>
    <w:rsid w:val="00267023"/>
    <w:rsid w:val="00270519"/>
    <w:rsid w:val="002706D7"/>
    <w:rsid w:val="00270A31"/>
    <w:rsid w:val="00271A20"/>
    <w:rsid w:val="00272EDF"/>
    <w:rsid w:val="00274E2C"/>
    <w:rsid w:val="00275EC9"/>
    <w:rsid w:val="002763AF"/>
    <w:rsid w:val="00276E50"/>
    <w:rsid w:val="00277447"/>
    <w:rsid w:val="0027758B"/>
    <w:rsid w:val="00277E87"/>
    <w:rsid w:val="00280598"/>
    <w:rsid w:val="00280DAE"/>
    <w:rsid w:val="00282BE4"/>
    <w:rsid w:val="00283564"/>
    <w:rsid w:val="00284352"/>
    <w:rsid w:val="00284B00"/>
    <w:rsid w:val="00286416"/>
    <w:rsid w:val="002912F9"/>
    <w:rsid w:val="00291DA9"/>
    <w:rsid w:val="002922EA"/>
    <w:rsid w:val="002939CA"/>
    <w:rsid w:val="00296BC6"/>
    <w:rsid w:val="002A11AC"/>
    <w:rsid w:val="002A1513"/>
    <w:rsid w:val="002A1EB3"/>
    <w:rsid w:val="002A4260"/>
    <w:rsid w:val="002A6DF1"/>
    <w:rsid w:val="002B01BE"/>
    <w:rsid w:val="002B04A9"/>
    <w:rsid w:val="002B07F3"/>
    <w:rsid w:val="002B46E4"/>
    <w:rsid w:val="002B4A46"/>
    <w:rsid w:val="002B5E7D"/>
    <w:rsid w:val="002B7FF8"/>
    <w:rsid w:val="002C235D"/>
    <w:rsid w:val="002C7304"/>
    <w:rsid w:val="002D00D2"/>
    <w:rsid w:val="002D03ED"/>
    <w:rsid w:val="002D0795"/>
    <w:rsid w:val="002D1170"/>
    <w:rsid w:val="002D1A8A"/>
    <w:rsid w:val="002D3BC6"/>
    <w:rsid w:val="002D3EB6"/>
    <w:rsid w:val="002D4BE1"/>
    <w:rsid w:val="002D51D9"/>
    <w:rsid w:val="002D5907"/>
    <w:rsid w:val="002D5A20"/>
    <w:rsid w:val="002D6110"/>
    <w:rsid w:val="002D7E1A"/>
    <w:rsid w:val="002E37D9"/>
    <w:rsid w:val="002E3C12"/>
    <w:rsid w:val="002E3C20"/>
    <w:rsid w:val="002E5CE3"/>
    <w:rsid w:val="002E6DDE"/>
    <w:rsid w:val="002E78E8"/>
    <w:rsid w:val="002F0FD5"/>
    <w:rsid w:val="002F1152"/>
    <w:rsid w:val="002F2209"/>
    <w:rsid w:val="002F3736"/>
    <w:rsid w:val="002F38B6"/>
    <w:rsid w:val="002F3A30"/>
    <w:rsid w:val="002F3D88"/>
    <w:rsid w:val="002F4481"/>
    <w:rsid w:val="002F4A76"/>
    <w:rsid w:val="002F4EB8"/>
    <w:rsid w:val="002F53F1"/>
    <w:rsid w:val="002F543F"/>
    <w:rsid w:val="002F56CC"/>
    <w:rsid w:val="002F7E25"/>
    <w:rsid w:val="003015D0"/>
    <w:rsid w:val="00301905"/>
    <w:rsid w:val="00303B89"/>
    <w:rsid w:val="00303CF1"/>
    <w:rsid w:val="00304255"/>
    <w:rsid w:val="0030485C"/>
    <w:rsid w:val="00307D4E"/>
    <w:rsid w:val="00310511"/>
    <w:rsid w:val="00311F38"/>
    <w:rsid w:val="00311FCE"/>
    <w:rsid w:val="00312E09"/>
    <w:rsid w:val="00314856"/>
    <w:rsid w:val="00316AB9"/>
    <w:rsid w:val="003202F4"/>
    <w:rsid w:val="0032214D"/>
    <w:rsid w:val="0032421F"/>
    <w:rsid w:val="003245EA"/>
    <w:rsid w:val="0032493D"/>
    <w:rsid w:val="003257F9"/>
    <w:rsid w:val="003259F8"/>
    <w:rsid w:val="0032614F"/>
    <w:rsid w:val="0033023A"/>
    <w:rsid w:val="00330923"/>
    <w:rsid w:val="00330EA5"/>
    <w:rsid w:val="0033475D"/>
    <w:rsid w:val="00334E0F"/>
    <w:rsid w:val="00335546"/>
    <w:rsid w:val="0033588B"/>
    <w:rsid w:val="00335A9A"/>
    <w:rsid w:val="003365D1"/>
    <w:rsid w:val="0033717B"/>
    <w:rsid w:val="00337AAF"/>
    <w:rsid w:val="003402AF"/>
    <w:rsid w:val="00340E27"/>
    <w:rsid w:val="0034111B"/>
    <w:rsid w:val="003412EE"/>
    <w:rsid w:val="00341760"/>
    <w:rsid w:val="00342B7E"/>
    <w:rsid w:val="0034327E"/>
    <w:rsid w:val="00343580"/>
    <w:rsid w:val="00344C59"/>
    <w:rsid w:val="003455AD"/>
    <w:rsid w:val="003456CE"/>
    <w:rsid w:val="00350CE7"/>
    <w:rsid w:val="00351055"/>
    <w:rsid w:val="00352713"/>
    <w:rsid w:val="00353E1F"/>
    <w:rsid w:val="00355759"/>
    <w:rsid w:val="00356042"/>
    <w:rsid w:val="0035655C"/>
    <w:rsid w:val="003567B3"/>
    <w:rsid w:val="00356AF9"/>
    <w:rsid w:val="003571FB"/>
    <w:rsid w:val="00357855"/>
    <w:rsid w:val="00357AF1"/>
    <w:rsid w:val="00360EA0"/>
    <w:rsid w:val="00361F30"/>
    <w:rsid w:val="00362600"/>
    <w:rsid w:val="00362623"/>
    <w:rsid w:val="00362839"/>
    <w:rsid w:val="00363AD8"/>
    <w:rsid w:val="003668B3"/>
    <w:rsid w:val="0037075B"/>
    <w:rsid w:val="00370B14"/>
    <w:rsid w:val="00371619"/>
    <w:rsid w:val="00376970"/>
    <w:rsid w:val="00377E7F"/>
    <w:rsid w:val="00380F5C"/>
    <w:rsid w:val="003812B1"/>
    <w:rsid w:val="00381EAB"/>
    <w:rsid w:val="003823D0"/>
    <w:rsid w:val="00382660"/>
    <w:rsid w:val="003841D8"/>
    <w:rsid w:val="00384406"/>
    <w:rsid w:val="00384C39"/>
    <w:rsid w:val="003850D1"/>
    <w:rsid w:val="003851B6"/>
    <w:rsid w:val="003863B5"/>
    <w:rsid w:val="00386D20"/>
    <w:rsid w:val="003871F7"/>
    <w:rsid w:val="003878E4"/>
    <w:rsid w:val="00387D17"/>
    <w:rsid w:val="00390100"/>
    <w:rsid w:val="00391462"/>
    <w:rsid w:val="00394F29"/>
    <w:rsid w:val="0039517B"/>
    <w:rsid w:val="003968A5"/>
    <w:rsid w:val="00396F33"/>
    <w:rsid w:val="003972C4"/>
    <w:rsid w:val="00397350"/>
    <w:rsid w:val="003978DD"/>
    <w:rsid w:val="003A1A3E"/>
    <w:rsid w:val="003A20DB"/>
    <w:rsid w:val="003A3B3E"/>
    <w:rsid w:val="003A3C1D"/>
    <w:rsid w:val="003A3F5E"/>
    <w:rsid w:val="003A4C64"/>
    <w:rsid w:val="003A4CFE"/>
    <w:rsid w:val="003A6046"/>
    <w:rsid w:val="003A6E49"/>
    <w:rsid w:val="003A7E2F"/>
    <w:rsid w:val="003B03F2"/>
    <w:rsid w:val="003B0717"/>
    <w:rsid w:val="003B0FA8"/>
    <w:rsid w:val="003B1F5D"/>
    <w:rsid w:val="003B2315"/>
    <w:rsid w:val="003B2DE1"/>
    <w:rsid w:val="003B45CB"/>
    <w:rsid w:val="003B490A"/>
    <w:rsid w:val="003B5E85"/>
    <w:rsid w:val="003B7958"/>
    <w:rsid w:val="003C119F"/>
    <w:rsid w:val="003C2C58"/>
    <w:rsid w:val="003C4D82"/>
    <w:rsid w:val="003C604D"/>
    <w:rsid w:val="003C6F72"/>
    <w:rsid w:val="003D0122"/>
    <w:rsid w:val="003D2E71"/>
    <w:rsid w:val="003D3F34"/>
    <w:rsid w:val="003D5453"/>
    <w:rsid w:val="003D5914"/>
    <w:rsid w:val="003D739B"/>
    <w:rsid w:val="003D7D34"/>
    <w:rsid w:val="003E03E5"/>
    <w:rsid w:val="003E1B13"/>
    <w:rsid w:val="003E25D9"/>
    <w:rsid w:val="003E2FEC"/>
    <w:rsid w:val="003E4B6E"/>
    <w:rsid w:val="003E522D"/>
    <w:rsid w:val="003E6F50"/>
    <w:rsid w:val="003F148B"/>
    <w:rsid w:val="003F1760"/>
    <w:rsid w:val="003F1BB4"/>
    <w:rsid w:val="003F1EF0"/>
    <w:rsid w:val="003F26DF"/>
    <w:rsid w:val="003F27FE"/>
    <w:rsid w:val="003F336F"/>
    <w:rsid w:val="003F36DF"/>
    <w:rsid w:val="003F3D24"/>
    <w:rsid w:val="003F7BD2"/>
    <w:rsid w:val="00400E53"/>
    <w:rsid w:val="00401EE4"/>
    <w:rsid w:val="00403ACD"/>
    <w:rsid w:val="0040496D"/>
    <w:rsid w:val="00404B2D"/>
    <w:rsid w:val="004051E6"/>
    <w:rsid w:val="00406909"/>
    <w:rsid w:val="00407412"/>
    <w:rsid w:val="00407972"/>
    <w:rsid w:val="00410639"/>
    <w:rsid w:val="0041279B"/>
    <w:rsid w:val="004129EA"/>
    <w:rsid w:val="00416DDA"/>
    <w:rsid w:val="00422CAE"/>
    <w:rsid w:val="00423E0E"/>
    <w:rsid w:val="00424268"/>
    <w:rsid w:val="00424EFB"/>
    <w:rsid w:val="004251EA"/>
    <w:rsid w:val="004252CB"/>
    <w:rsid w:val="00427F8F"/>
    <w:rsid w:val="00430375"/>
    <w:rsid w:val="00432C26"/>
    <w:rsid w:val="00433BFC"/>
    <w:rsid w:val="00434224"/>
    <w:rsid w:val="00434481"/>
    <w:rsid w:val="00434BC5"/>
    <w:rsid w:val="0043537E"/>
    <w:rsid w:val="004353A6"/>
    <w:rsid w:val="0043584E"/>
    <w:rsid w:val="0043643C"/>
    <w:rsid w:val="00436F0F"/>
    <w:rsid w:val="00440C68"/>
    <w:rsid w:val="00440FC3"/>
    <w:rsid w:val="004423FF"/>
    <w:rsid w:val="004443BD"/>
    <w:rsid w:val="00447A65"/>
    <w:rsid w:val="004506E7"/>
    <w:rsid w:val="00451E43"/>
    <w:rsid w:val="00452570"/>
    <w:rsid w:val="00454203"/>
    <w:rsid w:val="00454A15"/>
    <w:rsid w:val="004562C7"/>
    <w:rsid w:val="00456BE3"/>
    <w:rsid w:val="00457E64"/>
    <w:rsid w:val="00460156"/>
    <w:rsid w:val="00461783"/>
    <w:rsid w:val="004619D6"/>
    <w:rsid w:val="00461FD6"/>
    <w:rsid w:val="004628AA"/>
    <w:rsid w:val="00462CA2"/>
    <w:rsid w:val="00463130"/>
    <w:rsid w:val="00464DCB"/>
    <w:rsid w:val="00464F5D"/>
    <w:rsid w:val="0046500E"/>
    <w:rsid w:val="004656C0"/>
    <w:rsid w:val="004658B8"/>
    <w:rsid w:val="00466760"/>
    <w:rsid w:val="00467352"/>
    <w:rsid w:val="00467BC4"/>
    <w:rsid w:val="00471578"/>
    <w:rsid w:val="0047179A"/>
    <w:rsid w:val="00472988"/>
    <w:rsid w:val="00474B48"/>
    <w:rsid w:val="00475794"/>
    <w:rsid w:val="004779C2"/>
    <w:rsid w:val="004779C9"/>
    <w:rsid w:val="00477B77"/>
    <w:rsid w:val="00480F0E"/>
    <w:rsid w:val="004812D5"/>
    <w:rsid w:val="00481370"/>
    <w:rsid w:val="00484247"/>
    <w:rsid w:val="00484D09"/>
    <w:rsid w:val="00485CA7"/>
    <w:rsid w:val="00485F2D"/>
    <w:rsid w:val="00487A27"/>
    <w:rsid w:val="004915AD"/>
    <w:rsid w:val="004917C4"/>
    <w:rsid w:val="004918E5"/>
    <w:rsid w:val="00491E23"/>
    <w:rsid w:val="004945F8"/>
    <w:rsid w:val="00495709"/>
    <w:rsid w:val="00496023"/>
    <w:rsid w:val="00497517"/>
    <w:rsid w:val="004A0142"/>
    <w:rsid w:val="004A05DE"/>
    <w:rsid w:val="004A08F6"/>
    <w:rsid w:val="004A2639"/>
    <w:rsid w:val="004A2ABD"/>
    <w:rsid w:val="004A4A1E"/>
    <w:rsid w:val="004A54B7"/>
    <w:rsid w:val="004A58C1"/>
    <w:rsid w:val="004A605A"/>
    <w:rsid w:val="004A698F"/>
    <w:rsid w:val="004B16BE"/>
    <w:rsid w:val="004B1D2D"/>
    <w:rsid w:val="004B3559"/>
    <w:rsid w:val="004B7332"/>
    <w:rsid w:val="004C1569"/>
    <w:rsid w:val="004C3C2D"/>
    <w:rsid w:val="004C4737"/>
    <w:rsid w:val="004C4E76"/>
    <w:rsid w:val="004C5478"/>
    <w:rsid w:val="004D025F"/>
    <w:rsid w:val="004D0B09"/>
    <w:rsid w:val="004D0F93"/>
    <w:rsid w:val="004D1224"/>
    <w:rsid w:val="004D1CA4"/>
    <w:rsid w:val="004D352B"/>
    <w:rsid w:val="004D5884"/>
    <w:rsid w:val="004D58CE"/>
    <w:rsid w:val="004D6031"/>
    <w:rsid w:val="004D669C"/>
    <w:rsid w:val="004D7EE7"/>
    <w:rsid w:val="004E016E"/>
    <w:rsid w:val="004E09BE"/>
    <w:rsid w:val="004E2B61"/>
    <w:rsid w:val="004E2EEE"/>
    <w:rsid w:val="004E4E21"/>
    <w:rsid w:val="004E4F98"/>
    <w:rsid w:val="004E557D"/>
    <w:rsid w:val="004E71C1"/>
    <w:rsid w:val="004F07A1"/>
    <w:rsid w:val="004F18B5"/>
    <w:rsid w:val="004F342C"/>
    <w:rsid w:val="004F385B"/>
    <w:rsid w:val="004F4424"/>
    <w:rsid w:val="004F4C55"/>
    <w:rsid w:val="004F5620"/>
    <w:rsid w:val="004F7FD7"/>
    <w:rsid w:val="00503900"/>
    <w:rsid w:val="005044D8"/>
    <w:rsid w:val="00505CC0"/>
    <w:rsid w:val="00505E6B"/>
    <w:rsid w:val="005067FF"/>
    <w:rsid w:val="00506D13"/>
    <w:rsid w:val="00507FF4"/>
    <w:rsid w:val="005121AA"/>
    <w:rsid w:val="0051551E"/>
    <w:rsid w:val="00516629"/>
    <w:rsid w:val="00517F4D"/>
    <w:rsid w:val="00520577"/>
    <w:rsid w:val="00521818"/>
    <w:rsid w:val="00524BB7"/>
    <w:rsid w:val="0052713D"/>
    <w:rsid w:val="00527F3E"/>
    <w:rsid w:val="00532CEA"/>
    <w:rsid w:val="00534BEE"/>
    <w:rsid w:val="00534E20"/>
    <w:rsid w:val="00535003"/>
    <w:rsid w:val="00536DA6"/>
    <w:rsid w:val="00537D2B"/>
    <w:rsid w:val="00542387"/>
    <w:rsid w:val="0054271A"/>
    <w:rsid w:val="00543A87"/>
    <w:rsid w:val="00544082"/>
    <w:rsid w:val="0054422F"/>
    <w:rsid w:val="005448C3"/>
    <w:rsid w:val="00545B7E"/>
    <w:rsid w:val="00545E14"/>
    <w:rsid w:val="0054610D"/>
    <w:rsid w:val="00547194"/>
    <w:rsid w:val="005475C4"/>
    <w:rsid w:val="005523EB"/>
    <w:rsid w:val="00552D2A"/>
    <w:rsid w:val="005533BB"/>
    <w:rsid w:val="00554F6E"/>
    <w:rsid w:val="00555191"/>
    <w:rsid w:val="00556EB0"/>
    <w:rsid w:val="00557A8C"/>
    <w:rsid w:val="0056138A"/>
    <w:rsid w:val="005618BF"/>
    <w:rsid w:val="00562800"/>
    <w:rsid w:val="00562E25"/>
    <w:rsid w:val="005638E6"/>
    <w:rsid w:val="00564AE0"/>
    <w:rsid w:val="00564C7F"/>
    <w:rsid w:val="005653CF"/>
    <w:rsid w:val="0056689D"/>
    <w:rsid w:val="0056698F"/>
    <w:rsid w:val="00570E61"/>
    <w:rsid w:val="00571DE6"/>
    <w:rsid w:val="00574805"/>
    <w:rsid w:val="0057621E"/>
    <w:rsid w:val="005808E4"/>
    <w:rsid w:val="005811B3"/>
    <w:rsid w:val="00581240"/>
    <w:rsid w:val="00581F5D"/>
    <w:rsid w:val="005828B2"/>
    <w:rsid w:val="00584D8E"/>
    <w:rsid w:val="0058683F"/>
    <w:rsid w:val="00595026"/>
    <w:rsid w:val="005A013B"/>
    <w:rsid w:val="005A019D"/>
    <w:rsid w:val="005A0951"/>
    <w:rsid w:val="005A0A53"/>
    <w:rsid w:val="005A2A48"/>
    <w:rsid w:val="005A3964"/>
    <w:rsid w:val="005A550B"/>
    <w:rsid w:val="005B2080"/>
    <w:rsid w:val="005B34ED"/>
    <w:rsid w:val="005B3972"/>
    <w:rsid w:val="005B4DB9"/>
    <w:rsid w:val="005B5EB7"/>
    <w:rsid w:val="005B6D1F"/>
    <w:rsid w:val="005B7A4E"/>
    <w:rsid w:val="005C03C4"/>
    <w:rsid w:val="005C0C7A"/>
    <w:rsid w:val="005C124C"/>
    <w:rsid w:val="005C1FD3"/>
    <w:rsid w:val="005C207C"/>
    <w:rsid w:val="005C3D80"/>
    <w:rsid w:val="005C3EAE"/>
    <w:rsid w:val="005C4E0C"/>
    <w:rsid w:val="005C5573"/>
    <w:rsid w:val="005C5A0F"/>
    <w:rsid w:val="005D0EFA"/>
    <w:rsid w:val="005D0F3D"/>
    <w:rsid w:val="005D11E4"/>
    <w:rsid w:val="005D1D4B"/>
    <w:rsid w:val="005D284E"/>
    <w:rsid w:val="005D2E7E"/>
    <w:rsid w:val="005D7A64"/>
    <w:rsid w:val="005D7FFC"/>
    <w:rsid w:val="005E0BFC"/>
    <w:rsid w:val="005E0E40"/>
    <w:rsid w:val="005E1FD1"/>
    <w:rsid w:val="005E2C11"/>
    <w:rsid w:val="005E6524"/>
    <w:rsid w:val="005F0F6A"/>
    <w:rsid w:val="005F13CB"/>
    <w:rsid w:val="005F150C"/>
    <w:rsid w:val="005F1994"/>
    <w:rsid w:val="005F1999"/>
    <w:rsid w:val="005F22D6"/>
    <w:rsid w:val="005F31A1"/>
    <w:rsid w:val="005F3530"/>
    <w:rsid w:val="005F35F8"/>
    <w:rsid w:val="005F5033"/>
    <w:rsid w:val="005F5CB8"/>
    <w:rsid w:val="005F6B17"/>
    <w:rsid w:val="00601858"/>
    <w:rsid w:val="00601DC4"/>
    <w:rsid w:val="00601F46"/>
    <w:rsid w:val="0060297E"/>
    <w:rsid w:val="0060711D"/>
    <w:rsid w:val="006123E8"/>
    <w:rsid w:val="006159E1"/>
    <w:rsid w:val="0061712B"/>
    <w:rsid w:val="0061760F"/>
    <w:rsid w:val="00620347"/>
    <w:rsid w:val="0062148B"/>
    <w:rsid w:val="00623D96"/>
    <w:rsid w:val="00624472"/>
    <w:rsid w:val="006263F0"/>
    <w:rsid w:val="00627600"/>
    <w:rsid w:val="006306B9"/>
    <w:rsid w:val="00634697"/>
    <w:rsid w:val="00634B06"/>
    <w:rsid w:val="006351AB"/>
    <w:rsid w:val="006352A2"/>
    <w:rsid w:val="00635E06"/>
    <w:rsid w:val="006374ED"/>
    <w:rsid w:val="00637F54"/>
    <w:rsid w:val="00640266"/>
    <w:rsid w:val="006411A9"/>
    <w:rsid w:val="0064235F"/>
    <w:rsid w:val="00642964"/>
    <w:rsid w:val="00642DD1"/>
    <w:rsid w:val="00643FC7"/>
    <w:rsid w:val="0064439A"/>
    <w:rsid w:val="0064454F"/>
    <w:rsid w:val="00644C8E"/>
    <w:rsid w:val="006501B6"/>
    <w:rsid w:val="0065362D"/>
    <w:rsid w:val="00656B2E"/>
    <w:rsid w:val="0065758B"/>
    <w:rsid w:val="0066103E"/>
    <w:rsid w:val="00661FB9"/>
    <w:rsid w:val="00663ADB"/>
    <w:rsid w:val="0066538A"/>
    <w:rsid w:val="0066634B"/>
    <w:rsid w:val="00666416"/>
    <w:rsid w:val="006673BA"/>
    <w:rsid w:val="0067040B"/>
    <w:rsid w:val="006712A9"/>
    <w:rsid w:val="00671DFD"/>
    <w:rsid w:val="00671E00"/>
    <w:rsid w:val="006728CB"/>
    <w:rsid w:val="00672C4B"/>
    <w:rsid w:val="00675292"/>
    <w:rsid w:val="00675A26"/>
    <w:rsid w:val="006765EC"/>
    <w:rsid w:val="00677EBA"/>
    <w:rsid w:val="00682C19"/>
    <w:rsid w:val="0068378D"/>
    <w:rsid w:val="00683EAA"/>
    <w:rsid w:val="00684A50"/>
    <w:rsid w:val="006856D3"/>
    <w:rsid w:val="00685F9F"/>
    <w:rsid w:val="00686A99"/>
    <w:rsid w:val="00686D16"/>
    <w:rsid w:val="00687065"/>
    <w:rsid w:val="00687E72"/>
    <w:rsid w:val="00690F1F"/>
    <w:rsid w:val="00691DAE"/>
    <w:rsid w:val="00693157"/>
    <w:rsid w:val="00695A19"/>
    <w:rsid w:val="00697307"/>
    <w:rsid w:val="00697B93"/>
    <w:rsid w:val="006A00C6"/>
    <w:rsid w:val="006A0532"/>
    <w:rsid w:val="006A0D0F"/>
    <w:rsid w:val="006A1E6B"/>
    <w:rsid w:val="006A2257"/>
    <w:rsid w:val="006A235B"/>
    <w:rsid w:val="006A2A09"/>
    <w:rsid w:val="006A41B4"/>
    <w:rsid w:val="006A5BEC"/>
    <w:rsid w:val="006A73A0"/>
    <w:rsid w:val="006B1983"/>
    <w:rsid w:val="006B1DDE"/>
    <w:rsid w:val="006B204A"/>
    <w:rsid w:val="006B33E9"/>
    <w:rsid w:val="006B54B5"/>
    <w:rsid w:val="006B62BD"/>
    <w:rsid w:val="006B672B"/>
    <w:rsid w:val="006B7DC1"/>
    <w:rsid w:val="006C00CA"/>
    <w:rsid w:val="006C1594"/>
    <w:rsid w:val="006C4116"/>
    <w:rsid w:val="006C5D93"/>
    <w:rsid w:val="006C75A3"/>
    <w:rsid w:val="006D0A77"/>
    <w:rsid w:val="006D2FFE"/>
    <w:rsid w:val="006D5140"/>
    <w:rsid w:val="006D53A7"/>
    <w:rsid w:val="006D55E7"/>
    <w:rsid w:val="006D56F7"/>
    <w:rsid w:val="006D62F0"/>
    <w:rsid w:val="006D6DFA"/>
    <w:rsid w:val="006D7435"/>
    <w:rsid w:val="006E0334"/>
    <w:rsid w:val="006E1181"/>
    <w:rsid w:val="006E142D"/>
    <w:rsid w:val="006E1A8C"/>
    <w:rsid w:val="006E3AA8"/>
    <w:rsid w:val="006E3D21"/>
    <w:rsid w:val="006E476D"/>
    <w:rsid w:val="006E6B65"/>
    <w:rsid w:val="006E7898"/>
    <w:rsid w:val="006F3265"/>
    <w:rsid w:val="006F5DF7"/>
    <w:rsid w:val="006F63B5"/>
    <w:rsid w:val="006F6B96"/>
    <w:rsid w:val="006F7021"/>
    <w:rsid w:val="006F7D98"/>
    <w:rsid w:val="006F7EEF"/>
    <w:rsid w:val="006F7FC9"/>
    <w:rsid w:val="00700109"/>
    <w:rsid w:val="00700D35"/>
    <w:rsid w:val="00701F5A"/>
    <w:rsid w:val="0070490D"/>
    <w:rsid w:val="00705170"/>
    <w:rsid w:val="00705FE5"/>
    <w:rsid w:val="00706851"/>
    <w:rsid w:val="007068D7"/>
    <w:rsid w:val="007079DC"/>
    <w:rsid w:val="007100D8"/>
    <w:rsid w:val="00710904"/>
    <w:rsid w:val="0071103D"/>
    <w:rsid w:val="00713C2C"/>
    <w:rsid w:val="00715816"/>
    <w:rsid w:val="00716AD4"/>
    <w:rsid w:val="00716FC7"/>
    <w:rsid w:val="0071750F"/>
    <w:rsid w:val="00721B66"/>
    <w:rsid w:val="007220F4"/>
    <w:rsid w:val="007224F5"/>
    <w:rsid w:val="0072576B"/>
    <w:rsid w:val="00730445"/>
    <w:rsid w:val="00730649"/>
    <w:rsid w:val="00730664"/>
    <w:rsid w:val="0073195E"/>
    <w:rsid w:val="00731BCA"/>
    <w:rsid w:val="0073230E"/>
    <w:rsid w:val="00733283"/>
    <w:rsid w:val="007346A2"/>
    <w:rsid w:val="00734E16"/>
    <w:rsid w:val="00736514"/>
    <w:rsid w:val="00736BE8"/>
    <w:rsid w:val="00737C18"/>
    <w:rsid w:val="00740AEE"/>
    <w:rsid w:val="007410E9"/>
    <w:rsid w:val="0074178C"/>
    <w:rsid w:val="00742A97"/>
    <w:rsid w:val="00743788"/>
    <w:rsid w:val="007443D1"/>
    <w:rsid w:val="00745A38"/>
    <w:rsid w:val="00746569"/>
    <w:rsid w:val="00746AE0"/>
    <w:rsid w:val="00750705"/>
    <w:rsid w:val="007512D0"/>
    <w:rsid w:val="00751812"/>
    <w:rsid w:val="007534E1"/>
    <w:rsid w:val="00753C62"/>
    <w:rsid w:val="007544B4"/>
    <w:rsid w:val="00754A11"/>
    <w:rsid w:val="00754F7A"/>
    <w:rsid w:val="007556DA"/>
    <w:rsid w:val="0075614F"/>
    <w:rsid w:val="007562D9"/>
    <w:rsid w:val="00757834"/>
    <w:rsid w:val="00757F8F"/>
    <w:rsid w:val="00762D89"/>
    <w:rsid w:val="007648A7"/>
    <w:rsid w:val="00765532"/>
    <w:rsid w:val="00767E5A"/>
    <w:rsid w:val="00771993"/>
    <w:rsid w:val="00771ECA"/>
    <w:rsid w:val="00772EDD"/>
    <w:rsid w:val="00774BA0"/>
    <w:rsid w:val="00781217"/>
    <w:rsid w:val="007816CA"/>
    <w:rsid w:val="007819C5"/>
    <w:rsid w:val="00782D83"/>
    <w:rsid w:val="00782DF0"/>
    <w:rsid w:val="00782E5D"/>
    <w:rsid w:val="00786187"/>
    <w:rsid w:val="007869D8"/>
    <w:rsid w:val="007877FE"/>
    <w:rsid w:val="00787CE7"/>
    <w:rsid w:val="00790361"/>
    <w:rsid w:val="0079152F"/>
    <w:rsid w:val="00792F58"/>
    <w:rsid w:val="0079344A"/>
    <w:rsid w:val="007942F4"/>
    <w:rsid w:val="007945E0"/>
    <w:rsid w:val="00795205"/>
    <w:rsid w:val="00796DFC"/>
    <w:rsid w:val="007971ED"/>
    <w:rsid w:val="007A1E6B"/>
    <w:rsid w:val="007A29A1"/>
    <w:rsid w:val="007A3378"/>
    <w:rsid w:val="007A3DB0"/>
    <w:rsid w:val="007A52FB"/>
    <w:rsid w:val="007A5A73"/>
    <w:rsid w:val="007A60A1"/>
    <w:rsid w:val="007A6332"/>
    <w:rsid w:val="007A7748"/>
    <w:rsid w:val="007A7A21"/>
    <w:rsid w:val="007B199E"/>
    <w:rsid w:val="007B2BB1"/>
    <w:rsid w:val="007B3517"/>
    <w:rsid w:val="007B5EC2"/>
    <w:rsid w:val="007B7D58"/>
    <w:rsid w:val="007C05B0"/>
    <w:rsid w:val="007C07F7"/>
    <w:rsid w:val="007C1FCF"/>
    <w:rsid w:val="007C3727"/>
    <w:rsid w:val="007C421A"/>
    <w:rsid w:val="007C671E"/>
    <w:rsid w:val="007C6D40"/>
    <w:rsid w:val="007C713A"/>
    <w:rsid w:val="007D0AD3"/>
    <w:rsid w:val="007D1575"/>
    <w:rsid w:val="007D1BDA"/>
    <w:rsid w:val="007D2BD1"/>
    <w:rsid w:val="007D33DF"/>
    <w:rsid w:val="007D3966"/>
    <w:rsid w:val="007D5A0D"/>
    <w:rsid w:val="007E2FB2"/>
    <w:rsid w:val="007E3713"/>
    <w:rsid w:val="007E3951"/>
    <w:rsid w:val="007E404A"/>
    <w:rsid w:val="007E5A96"/>
    <w:rsid w:val="007E5E69"/>
    <w:rsid w:val="007F03AE"/>
    <w:rsid w:val="007F065F"/>
    <w:rsid w:val="0080254D"/>
    <w:rsid w:val="00802BF4"/>
    <w:rsid w:val="00803610"/>
    <w:rsid w:val="00804467"/>
    <w:rsid w:val="00804C4C"/>
    <w:rsid w:val="00806BCE"/>
    <w:rsid w:val="00807549"/>
    <w:rsid w:val="00807B1B"/>
    <w:rsid w:val="00807C42"/>
    <w:rsid w:val="00810ADC"/>
    <w:rsid w:val="00810FA1"/>
    <w:rsid w:val="00811497"/>
    <w:rsid w:val="00811EF1"/>
    <w:rsid w:val="00814470"/>
    <w:rsid w:val="0081472A"/>
    <w:rsid w:val="00815313"/>
    <w:rsid w:val="008161CA"/>
    <w:rsid w:val="008171E5"/>
    <w:rsid w:val="0082085A"/>
    <w:rsid w:val="00820CB5"/>
    <w:rsid w:val="0082102C"/>
    <w:rsid w:val="008211EF"/>
    <w:rsid w:val="008213D1"/>
    <w:rsid w:val="008218B4"/>
    <w:rsid w:val="00821C42"/>
    <w:rsid w:val="00821CBA"/>
    <w:rsid w:val="008223C9"/>
    <w:rsid w:val="00822D3B"/>
    <w:rsid w:val="00824012"/>
    <w:rsid w:val="00824244"/>
    <w:rsid w:val="00824819"/>
    <w:rsid w:val="00824A11"/>
    <w:rsid w:val="00826401"/>
    <w:rsid w:val="008265A1"/>
    <w:rsid w:val="00827167"/>
    <w:rsid w:val="00827753"/>
    <w:rsid w:val="00831A0E"/>
    <w:rsid w:val="00832119"/>
    <w:rsid w:val="0083265A"/>
    <w:rsid w:val="00834ECB"/>
    <w:rsid w:val="00834FFA"/>
    <w:rsid w:val="00835636"/>
    <w:rsid w:val="00836E8F"/>
    <w:rsid w:val="00837817"/>
    <w:rsid w:val="008409C4"/>
    <w:rsid w:val="00841467"/>
    <w:rsid w:val="008425AC"/>
    <w:rsid w:val="0084307D"/>
    <w:rsid w:val="00843BFD"/>
    <w:rsid w:val="00844F09"/>
    <w:rsid w:val="008452B6"/>
    <w:rsid w:val="00845892"/>
    <w:rsid w:val="00846881"/>
    <w:rsid w:val="008473E7"/>
    <w:rsid w:val="00847621"/>
    <w:rsid w:val="008476D5"/>
    <w:rsid w:val="008477B3"/>
    <w:rsid w:val="00851EC5"/>
    <w:rsid w:val="0085347F"/>
    <w:rsid w:val="008542C5"/>
    <w:rsid w:val="00854D9B"/>
    <w:rsid w:val="00855190"/>
    <w:rsid w:val="008552EF"/>
    <w:rsid w:val="00857637"/>
    <w:rsid w:val="00862018"/>
    <w:rsid w:val="00866330"/>
    <w:rsid w:val="00867300"/>
    <w:rsid w:val="008722F0"/>
    <w:rsid w:val="00874028"/>
    <w:rsid w:val="00875109"/>
    <w:rsid w:val="00875C54"/>
    <w:rsid w:val="00876291"/>
    <w:rsid w:val="00877709"/>
    <w:rsid w:val="00881962"/>
    <w:rsid w:val="00882C65"/>
    <w:rsid w:val="00882CED"/>
    <w:rsid w:val="00882FD7"/>
    <w:rsid w:val="00883273"/>
    <w:rsid w:val="0088601C"/>
    <w:rsid w:val="00886081"/>
    <w:rsid w:val="008868DD"/>
    <w:rsid w:val="00887D6E"/>
    <w:rsid w:val="0089020B"/>
    <w:rsid w:val="00890B0C"/>
    <w:rsid w:val="00891225"/>
    <w:rsid w:val="00891240"/>
    <w:rsid w:val="00892CD5"/>
    <w:rsid w:val="00892D7F"/>
    <w:rsid w:val="00893FD9"/>
    <w:rsid w:val="0089443F"/>
    <w:rsid w:val="00894D4F"/>
    <w:rsid w:val="0089528C"/>
    <w:rsid w:val="00896ACC"/>
    <w:rsid w:val="00897067"/>
    <w:rsid w:val="008A0D27"/>
    <w:rsid w:val="008A29CE"/>
    <w:rsid w:val="008A339B"/>
    <w:rsid w:val="008A4441"/>
    <w:rsid w:val="008A4823"/>
    <w:rsid w:val="008A5014"/>
    <w:rsid w:val="008A61FE"/>
    <w:rsid w:val="008B242D"/>
    <w:rsid w:val="008B43ED"/>
    <w:rsid w:val="008B4BCC"/>
    <w:rsid w:val="008B5081"/>
    <w:rsid w:val="008B5BE5"/>
    <w:rsid w:val="008B5E6F"/>
    <w:rsid w:val="008B6914"/>
    <w:rsid w:val="008C00D6"/>
    <w:rsid w:val="008C0AC3"/>
    <w:rsid w:val="008C0B14"/>
    <w:rsid w:val="008C1110"/>
    <w:rsid w:val="008C2166"/>
    <w:rsid w:val="008C300C"/>
    <w:rsid w:val="008C3C2F"/>
    <w:rsid w:val="008C3EB8"/>
    <w:rsid w:val="008C4BEE"/>
    <w:rsid w:val="008C6797"/>
    <w:rsid w:val="008D05FD"/>
    <w:rsid w:val="008D0B2F"/>
    <w:rsid w:val="008D2459"/>
    <w:rsid w:val="008D2F13"/>
    <w:rsid w:val="008D400B"/>
    <w:rsid w:val="008D410F"/>
    <w:rsid w:val="008D4537"/>
    <w:rsid w:val="008D4B62"/>
    <w:rsid w:val="008D6E47"/>
    <w:rsid w:val="008E2B38"/>
    <w:rsid w:val="008E39B3"/>
    <w:rsid w:val="008E46F4"/>
    <w:rsid w:val="008E6A66"/>
    <w:rsid w:val="008E6C13"/>
    <w:rsid w:val="008E6D94"/>
    <w:rsid w:val="008E7AD2"/>
    <w:rsid w:val="008E7E5B"/>
    <w:rsid w:val="008F00C6"/>
    <w:rsid w:val="008F2A67"/>
    <w:rsid w:val="008F3BB6"/>
    <w:rsid w:val="008F40E9"/>
    <w:rsid w:val="008F5483"/>
    <w:rsid w:val="008F5AF4"/>
    <w:rsid w:val="008F6633"/>
    <w:rsid w:val="008F711E"/>
    <w:rsid w:val="008F7EEA"/>
    <w:rsid w:val="00900B9F"/>
    <w:rsid w:val="0090285C"/>
    <w:rsid w:val="00902D49"/>
    <w:rsid w:val="00903199"/>
    <w:rsid w:val="00904133"/>
    <w:rsid w:val="00904E1C"/>
    <w:rsid w:val="009054AE"/>
    <w:rsid w:val="00906C81"/>
    <w:rsid w:val="00910988"/>
    <w:rsid w:val="00910C30"/>
    <w:rsid w:val="00910F67"/>
    <w:rsid w:val="00911782"/>
    <w:rsid w:val="00911E8F"/>
    <w:rsid w:val="0091204B"/>
    <w:rsid w:val="00912EE5"/>
    <w:rsid w:val="009145A4"/>
    <w:rsid w:val="00915E88"/>
    <w:rsid w:val="009179C1"/>
    <w:rsid w:val="00921AA3"/>
    <w:rsid w:val="00922F4E"/>
    <w:rsid w:val="00923254"/>
    <w:rsid w:val="00923896"/>
    <w:rsid w:val="00923AA1"/>
    <w:rsid w:val="0092553F"/>
    <w:rsid w:val="009265C0"/>
    <w:rsid w:val="00927397"/>
    <w:rsid w:val="00927893"/>
    <w:rsid w:val="00931216"/>
    <w:rsid w:val="00932DA6"/>
    <w:rsid w:val="009333CB"/>
    <w:rsid w:val="00934E87"/>
    <w:rsid w:val="00934EED"/>
    <w:rsid w:val="009359E7"/>
    <w:rsid w:val="00935BA1"/>
    <w:rsid w:val="0093685A"/>
    <w:rsid w:val="00940301"/>
    <w:rsid w:val="009411F1"/>
    <w:rsid w:val="009411F3"/>
    <w:rsid w:val="009419F3"/>
    <w:rsid w:val="009461C6"/>
    <w:rsid w:val="00947C34"/>
    <w:rsid w:val="00951BEE"/>
    <w:rsid w:val="00952BFB"/>
    <w:rsid w:val="0095363A"/>
    <w:rsid w:val="0095403D"/>
    <w:rsid w:val="00954E3E"/>
    <w:rsid w:val="009563A5"/>
    <w:rsid w:val="00956855"/>
    <w:rsid w:val="00956A5D"/>
    <w:rsid w:val="00964D03"/>
    <w:rsid w:val="009671E0"/>
    <w:rsid w:val="00967244"/>
    <w:rsid w:val="0097039F"/>
    <w:rsid w:val="00970CD7"/>
    <w:rsid w:val="00971333"/>
    <w:rsid w:val="00972245"/>
    <w:rsid w:val="0097331C"/>
    <w:rsid w:val="00973A14"/>
    <w:rsid w:val="00973B6C"/>
    <w:rsid w:val="00973E27"/>
    <w:rsid w:val="00974865"/>
    <w:rsid w:val="009766A6"/>
    <w:rsid w:val="00976BC1"/>
    <w:rsid w:val="009806FB"/>
    <w:rsid w:val="009812F5"/>
    <w:rsid w:val="00981F45"/>
    <w:rsid w:val="00983F98"/>
    <w:rsid w:val="00985AC5"/>
    <w:rsid w:val="0098790E"/>
    <w:rsid w:val="00987C1A"/>
    <w:rsid w:val="00990048"/>
    <w:rsid w:val="00990B1B"/>
    <w:rsid w:val="00992B12"/>
    <w:rsid w:val="00993E85"/>
    <w:rsid w:val="009940DA"/>
    <w:rsid w:val="00994201"/>
    <w:rsid w:val="009943CA"/>
    <w:rsid w:val="00994AE5"/>
    <w:rsid w:val="00994BD2"/>
    <w:rsid w:val="00997049"/>
    <w:rsid w:val="009970C0"/>
    <w:rsid w:val="0099778D"/>
    <w:rsid w:val="00997FB0"/>
    <w:rsid w:val="009A1A75"/>
    <w:rsid w:val="009A2077"/>
    <w:rsid w:val="009A39EF"/>
    <w:rsid w:val="009A3D04"/>
    <w:rsid w:val="009A3E7D"/>
    <w:rsid w:val="009A51BF"/>
    <w:rsid w:val="009A7851"/>
    <w:rsid w:val="009A7D03"/>
    <w:rsid w:val="009B0290"/>
    <w:rsid w:val="009B13AD"/>
    <w:rsid w:val="009B1F28"/>
    <w:rsid w:val="009B2554"/>
    <w:rsid w:val="009B31AD"/>
    <w:rsid w:val="009B379B"/>
    <w:rsid w:val="009B56F2"/>
    <w:rsid w:val="009B6CCE"/>
    <w:rsid w:val="009B7B8F"/>
    <w:rsid w:val="009B7C48"/>
    <w:rsid w:val="009C045F"/>
    <w:rsid w:val="009C0528"/>
    <w:rsid w:val="009C0DE9"/>
    <w:rsid w:val="009C0F0C"/>
    <w:rsid w:val="009C10E7"/>
    <w:rsid w:val="009C11EE"/>
    <w:rsid w:val="009C131C"/>
    <w:rsid w:val="009C6A82"/>
    <w:rsid w:val="009C741A"/>
    <w:rsid w:val="009C7BA3"/>
    <w:rsid w:val="009C7BCE"/>
    <w:rsid w:val="009D054A"/>
    <w:rsid w:val="009D09E3"/>
    <w:rsid w:val="009D17BA"/>
    <w:rsid w:val="009D1F35"/>
    <w:rsid w:val="009D7C8E"/>
    <w:rsid w:val="009E03AD"/>
    <w:rsid w:val="009E11CD"/>
    <w:rsid w:val="009E16F3"/>
    <w:rsid w:val="009E18BB"/>
    <w:rsid w:val="009E253B"/>
    <w:rsid w:val="009E2735"/>
    <w:rsid w:val="009E479C"/>
    <w:rsid w:val="009E48B8"/>
    <w:rsid w:val="009E6C52"/>
    <w:rsid w:val="009E6D39"/>
    <w:rsid w:val="009E7099"/>
    <w:rsid w:val="009E77B1"/>
    <w:rsid w:val="009F0070"/>
    <w:rsid w:val="009F0B37"/>
    <w:rsid w:val="009F0BB0"/>
    <w:rsid w:val="009F0FE5"/>
    <w:rsid w:val="009F1B75"/>
    <w:rsid w:val="009F2B05"/>
    <w:rsid w:val="009F40A4"/>
    <w:rsid w:val="009F54CD"/>
    <w:rsid w:val="009F5E92"/>
    <w:rsid w:val="009F6068"/>
    <w:rsid w:val="009F6E63"/>
    <w:rsid w:val="00A00385"/>
    <w:rsid w:val="00A004AB"/>
    <w:rsid w:val="00A00D34"/>
    <w:rsid w:val="00A023AE"/>
    <w:rsid w:val="00A037D4"/>
    <w:rsid w:val="00A05618"/>
    <w:rsid w:val="00A05FAE"/>
    <w:rsid w:val="00A07848"/>
    <w:rsid w:val="00A119E2"/>
    <w:rsid w:val="00A12531"/>
    <w:rsid w:val="00A133E6"/>
    <w:rsid w:val="00A134EA"/>
    <w:rsid w:val="00A15A7D"/>
    <w:rsid w:val="00A161CB"/>
    <w:rsid w:val="00A17D08"/>
    <w:rsid w:val="00A226D9"/>
    <w:rsid w:val="00A22E4F"/>
    <w:rsid w:val="00A23095"/>
    <w:rsid w:val="00A27449"/>
    <w:rsid w:val="00A32DAB"/>
    <w:rsid w:val="00A342C5"/>
    <w:rsid w:val="00A343C9"/>
    <w:rsid w:val="00A34407"/>
    <w:rsid w:val="00A350F8"/>
    <w:rsid w:val="00A35985"/>
    <w:rsid w:val="00A36009"/>
    <w:rsid w:val="00A405F1"/>
    <w:rsid w:val="00A41FDB"/>
    <w:rsid w:val="00A42631"/>
    <w:rsid w:val="00A45791"/>
    <w:rsid w:val="00A459FF"/>
    <w:rsid w:val="00A478DD"/>
    <w:rsid w:val="00A47CA3"/>
    <w:rsid w:val="00A50711"/>
    <w:rsid w:val="00A53CC2"/>
    <w:rsid w:val="00A55768"/>
    <w:rsid w:val="00A569C8"/>
    <w:rsid w:val="00A57417"/>
    <w:rsid w:val="00A57AB3"/>
    <w:rsid w:val="00A610BA"/>
    <w:rsid w:val="00A62663"/>
    <w:rsid w:val="00A6337A"/>
    <w:rsid w:val="00A63B39"/>
    <w:rsid w:val="00A64C28"/>
    <w:rsid w:val="00A654C9"/>
    <w:rsid w:val="00A660D6"/>
    <w:rsid w:val="00A67BA8"/>
    <w:rsid w:val="00A71941"/>
    <w:rsid w:val="00A71A50"/>
    <w:rsid w:val="00A72927"/>
    <w:rsid w:val="00A75161"/>
    <w:rsid w:val="00A76D9D"/>
    <w:rsid w:val="00A77ED7"/>
    <w:rsid w:val="00A801A1"/>
    <w:rsid w:val="00A80458"/>
    <w:rsid w:val="00A81CA7"/>
    <w:rsid w:val="00A830FD"/>
    <w:rsid w:val="00A84278"/>
    <w:rsid w:val="00A843A9"/>
    <w:rsid w:val="00A8480F"/>
    <w:rsid w:val="00A84968"/>
    <w:rsid w:val="00A8625A"/>
    <w:rsid w:val="00A8656B"/>
    <w:rsid w:val="00A87BAD"/>
    <w:rsid w:val="00A9023E"/>
    <w:rsid w:val="00A90BA1"/>
    <w:rsid w:val="00A921B9"/>
    <w:rsid w:val="00A9223E"/>
    <w:rsid w:val="00A93DE2"/>
    <w:rsid w:val="00A940B9"/>
    <w:rsid w:val="00A94E96"/>
    <w:rsid w:val="00A94F9C"/>
    <w:rsid w:val="00A95383"/>
    <w:rsid w:val="00A95CD3"/>
    <w:rsid w:val="00A96FB9"/>
    <w:rsid w:val="00AA08B2"/>
    <w:rsid w:val="00AA2619"/>
    <w:rsid w:val="00AA277C"/>
    <w:rsid w:val="00AA3F68"/>
    <w:rsid w:val="00AA4CB9"/>
    <w:rsid w:val="00AA5689"/>
    <w:rsid w:val="00AA6BA2"/>
    <w:rsid w:val="00AB1CF7"/>
    <w:rsid w:val="00AB325A"/>
    <w:rsid w:val="00AB36A9"/>
    <w:rsid w:val="00AB3949"/>
    <w:rsid w:val="00AC02E9"/>
    <w:rsid w:val="00AC2A66"/>
    <w:rsid w:val="00AC35CD"/>
    <w:rsid w:val="00AC393B"/>
    <w:rsid w:val="00AC4347"/>
    <w:rsid w:val="00AC4DAF"/>
    <w:rsid w:val="00AC5219"/>
    <w:rsid w:val="00AC731B"/>
    <w:rsid w:val="00AD0516"/>
    <w:rsid w:val="00AD10EB"/>
    <w:rsid w:val="00AD1ABB"/>
    <w:rsid w:val="00AD22BE"/>
    <w:rsid w:val="00AD266C"/>
    <w:rsid w:val="00AD4055"/>
    <w:rsid w:val="00AD4526"/>
    <w:rsid w:val="00AD4D79"/>
    <w:rsid w:val="00AD5FF9"/>
    <w:rsid w:val="00AD60F0"/>
    <w:rsid w:val="00AD618F"/>
    <w:rsid w:val="00AD6630"/>
    <w:rsid w:val="00AE1BCD"/>
    <w:rsid w:val="00AE1D92"/>
    <w:rsid w:val="00AE23C7"/>
    <w:rsid w:val="00AE50FC"/>
    <w:rsid w:val="00AE5B16"/>
    <w:rsid w:val="00AE62F2"/>
    <w:rsid w:val="00AF0141"/>
    <w:rsid w:val="00AF06A2"/>
    <w:rsid w:val="00AF10DD"/>
    <w:rsid w:val="00AF1B62"/>
    <w:rsid w:val="00AF1BDD"/>
    <w:rsid w:val="00AF217D"/>
    <w:rsid w:val="00AF3316"/>
    <w:rsid w:val="00AF56CE"/>
    <w:rsid w:val="00AF6684"/>
    <w:rsid w:val="00AF773E"/>
    <w:rsid w:val="00B0088D"/>
    <w:rsid w:val="00B01852"/>
    <w:rsid w:val="00B0531C"/>
    <w:rsid w:val="00B07E7D"/>
    <w:rsid w:val="00B12314"/>
    <w:rsid w:val="00B12CBB"/>
    <w:rsid w:val="00B12F2B"/>
    <w:rsid w:val="00B13B67"/>
    <w:rsid w:val="00B1431B"/>
    <w:rsid w:val="00B1499C"/>
    <w:rsid w:val="00B149D6"/>
    <w:rsid w:val="00B2042A"/>
    <w:rsid w:val="00B20A0B"/>
    <w:rsid w:val="00B20E61"/>
    <w:rsid w:val="00B210DD"/>
    <w:rsid w:val="00B23520"/>
    <w:rsid w:val="00B23592"/>
    <w:rsid w:val="00B2375B"/>
    <w:rsid w:val="00B2418F"/>
    <w:rsid w:val="00B2644A"/>
    <w:rsid w:val="00B26C7B"/>
    <w:rsid w:val="00B27E77"/>
    <w:rsid w:val="00B307AA"/>
    <w:rsid w:val="00B32E2A"/>
    <w:rsid w:val="00B33067"/>
    <w:rsid w:val="00B33276"/>
    <w:rsid w:val="00B33F68"/>
    <w:rsid w:val="00B36409"/>
    <w:rsid w:val="00B412CC"/>
    <w:rsid w:val="00B413DC"/>
    <w:rsid w:val="00B41861"/>
    <w:rsid w:val="00B43BCE"/>
    <w:rsid w:val="00B43C32"/>
    <w:rsid w:val="00B4405B"/>
    <w:rsid w:val="00B454FD"/>
    <w:rsid w:val="00B45DDD"/>
    <w:rsid w:val="00B46E55"/>
    <w:rsid w:val="00B47315"/>
    <w:rsid w:val="00B47374"/>
    <w:rsid w:val="00B477BF"/>
    <w:rsid w:val="00B515E5"/>
    <w:rsid w:val="00B51CBA"/>
    <w:rsid w:val="00B52C9C"/>
    <w:rsid w:val="00B53F3C"/>
    <w:rsid w:val="00B54B10"/>
    <w:rsid w:val="00B5533D"/>
    <w:rsid w:val="00B55481"/>
    <w:rsid w:val="00B55EE5"/>
    <w:rsid w:val="00B5649A"/>
    <w:rsid w:val="00B56B61"/>
    <w:rsid w:val="00B57B67"/>
    <w:rsid w:val="00B61828"/>
    <w:rsid w:val="00B619D3"/>
    <w:rsid w:val="00B61C5C"/>
    <w:rsid w:val="00B6242C"/>
    <w:rsid w:val="00B62897"/>
    <w:rsid w:val="00B62B3B"/>
    <w:rsid w:val="00B63354"/>
    <w:rsid w:val="00B63768"/>
    <w:rsid w:val="00B63883"/>
    <w:rsid w:val="00B64C82"/>
    <w:rsid w:val="00B65FF5"/>
    <w:rsid w:val="00B67C5E"/>
    <w:rsid w:val="00B67FFB"/>
    <w:rsid w:val="00B720DF"/>
    <w:rsid w:val="00B74D18"/>
    <w:rsid w:val="00B807B7"/>
    <w:rsid w:val="00B80950"/>
    <w:rsid w:val="00B80C31"/>
    <w:rsid w:val="00B82C98"/>
    <w:rsid w:val="00B8471F"/>
    <w:rsid w:val="00B8796D"/>
    <w:rsid w:val="00B87AC1"/>
    <w:rsid w:val="00B87EE8"/>
    <w:rsid w:val="00B91C07"/>
    <w:rsid w:val="00B92736"/>
    <w:rsid w:val="00B92A8B"/>
    <w:rsid w:val="00B92E0D"/>
    <w:rsid w:val="00B93323"/>
    <w:rsid w:val="00B94617"/>
    <w:rsid w:val="00B946D3"/>
    <w:rsid w:val="00B9507E"/>
    <w:rsid w:val="00B956DB"/>
    <w:rsid w:val="00B9578D"/>
    <w:rsid w:val="00B971C7"/>
    <w:rsid w:val="00B9740F"/>
    <w:rsid w:val="00BA11AC"/>
    <w:rsid w:val="00BA12B9"/>
    <w:rsid w:val="00BA42A1"/>
    <w:rsid w:val="00BA4328"/>
    <w:rsid w:val="00BA6B82"/>
    <w:rsid w:val="00BB0F1E"/>
    <w:rsid w:val="00BB1175"/>
    <w:rsid w:val="00BB1E6D"/>
    <w:rsid w:val="00BB260B"/>
    <w:rsid w:val="00BB3D00"/>
    <w:rsid w:val="00BB44CA"/>
    <w:rsid w:val="00BB557D"/>
    <w:rsid w:val="00BB6C03"/>
    <w:rsid w:val="00BB6DB1"/>
    <w:rsid w:val="00BB7263"/>
    <w:rsid w:val="00BB74F1"/>
    <w:rsid w:val="00BC0563"/>
    <w:rsid w:val="00BC0D06"/>
    <w:rsid w:val="00BC1C16"/>
    <w:rsid w:val="00BC2DB4"/>
    <w:rsid w:val="00BC4F0B"/>
    <w:rsid w:val="00BC64A2"/>
    <w:rsid w:val="00BC6B21"/>
    <w:rsid w:val="00BC6C5D"/>
    <w:rsid w:val="00BC6CDB"/>
    <w:rsid w:val="00BC733F"/>
    <w:rsid w:val="00BD00AA"/>
    <w:rsid w:val="00BD0515"/>
    <w:rsid w:val="00BD0F06"/>
    <w:rsid w:val="00BD11CB"/>
    <w:rsid w:val="00BD26E5"/>
    <w:rsid w:val="00BD2F10"/>
    <w:rsid w:val="00BD3C18"/>
    <w:rsid w:val="00BD7C1D"/>
    <w:rsid w:val="00BD7E1C"/>
    <w:rsid w:val="00BE0733"/>
    <w:rsid w:val="00BE12EE"/>
    <w:rsid w:val="00BE19B1"/>
    <w:rsid w:val="00BE26D6"/>
    <w:rsid w:val="00BE331B"/>
    <w:rsid w:val="00BE39C5"/>
    <w:rsid w:val="00BE3B08"/>
    <w:rsid w:val="00BE4ECC"/>
    <w:rsid w:val="00BF1E04"/>
    <w:rsid w:val="00BF333C"/>
    <w:rsid w:val="00BF41FF"/>
    <w:rsid w:val="00BF4808"/>
    <w:rsid w:val="00BF4A5C"/>
    <w:rsid w:val="00BF7D49"/>
    <w:rsid w:val="00C0285F"/>
    <w:rsid w:val="00C05187"/>
    <w:rsid w:val="00C0556A"/>
    <w:rsid w:val="00C060B7"/>
    <w:rsid w:val="00C06788"/>
    <w:rsid w:val="00C067E7"/>
    <w:rsid w:val="00C0686D"/>
    <w:rsid w:val="00C06E40"/>
    <w:rsid w:val="00C06EBC"/>
    <w:rsid w:val="00C07DFE"/>
    <w:rsid w:val="00C10371"/>
    <w:rsid w:val="00C108E5"/>
    <w:rsid w:val="00C122F6"/>
    <w:rsid w:val="00C12D63"/>
    <w:rsid w:val="00C1304A"/>
    <w:rsid w:val="00C143AA"/>
    <w:rsid w:val="00C1502D"/>
    <w:rsid w:val="00C154F8"/>
    <w:rsid w:val="00C158D0"/>
    <w:rsid w:val="00C174BB"/>
    <w:rsid w:val="00C179CD"/>
    <w:rsid w:val="00C21185"/>
    <w:rsid w:val="00C21306"/>
    <w:rsid w:val="00C21373"/>
    <w:rsid w:val="00C228B3"/>
    <w:rsid w:val="00C228C5"/>
    <w:rsid w:val="00C22E4F"/>
    <w:rsid w:val="00C2336C"/>
    <w:rsid w:val="00C23ACB"/>
    <w:rsid w:val="00C24470"/>
    <w:rsid w:val="00C24B7C"/>
    <w:rsid w:val="00C26886"/>
    <w:rsid w:val="00C30EF7"/>
    <w:rsid w:val="00C319A9"/>
    <w:rsid w:val="00C31A4B"/>
    <w:rsid w:val="00C34765"/>
    <w:rsid w:val="00C352E6"/>
    <w:rsid w:val="00C3569C"/>
    <w:rsid w:val="00C35A99"/>
    <w:rsid w:val="00C35CF1"/>
    <w:rsid w:val="00C379B1"/>
    <w:rsid w:val="00C403E3"/>
    <w:rsid w:val="00C40569"/>
    <w:rsid w:val="00C40A00"/>
    <w:rsid w:val="00C412E6"/>
    <w:rsid w:val="00C42A24"/>
    <w:rsid w:val="00C44533"/>
    <w:rsid w:val="00C453AA"/>
    <w:rsid w:val="00C458DF"/>
    <w:rsid w:val="00C45AF8"/>
    <w:rsid w:val="00C45CAD"/>
    <w:rsid w:val="00C46445"/>
    <w:rsid w:val="00C46EB0"/>
    <w:rsid w:val="00C47EFD"/>
    <w:rsid w:val="00C50396"/>
    <w:rsid w:val="00C515A4"/>
    <w:rsid w:val="00C51638"/>
    <w:rsid w:val="00C5333B"/>
    <w:rsid w:val="00C53CD8"/>
    <w:rsid w:val="00C554A3"/>
    <w:rsid w:val="00C5550A"/>
    <w:rsid w:val="00C5552C"/>
    <w:rsid w:val="00C560D8"/>
    <w:rsid w:val="00C56274"/>
    <w:rsid w:val="00C562C0"/>
    <w:rsid w:val="00C569EE"/>
    <w:rsid w:val="00C56BC4"/>
    <w:rsid w:val="00C56DEF"/>
    <w:rsid w:val="00C5700B"/>
    <w:rsid w:val="00C57429"/>
    <w:rsid w:val="00C60805"/>
    <w:rsid w:val="00C60FE4"/>
    <w:rsid w:val="00C6255A"/>
    <w:rsid w:val="00C62900"/>
    <w:rsid w:val="00C63905"/>
    <w:rsid w:val="00C643BD"/>
    <w:rsid w:val="00C64F26"/>
    <w:rsid w:val="00C653C4"/>
    <w:rsid w:val="00C65C42"/>
    <w:rsid w:val="00C707D2"/>
    <w:rsid w:val="00C7109A"/>
    <w:rsid w:val="00C7230F"/>
    <w:rsid w:val="00C7279A"/>
    <w:rsid w:val="00C72CC8"/>
    <w:rsid w:val="00C744D0"/>
    <w:rsid w:val="00C76182"/>
    <w:rsid w:val="00C80FD8"/>
    <w:rsid w:val="00C81778"/>
    <w:rsid w:val="00C817EF"/>
    <w:rsid w:val="00C81BE2"/>
    <w:rsid w:val="00C85B17"/>
    <w:rsid w:val="00C85F0B"/>
    <w:rsid w:val="00C867DA"/>
    <w:rsid w:val="00C903A5"/>
    <w:rsid w:val="00C92074"/>
    <w:rsid w:val="00C92D20"/>
    <w:rsid w:val="00C9350F"/>
    <w:rsid w:val="00C93CDA"/>
    <w:rsid w:val="00C94348"/>
    <w:rsid w:val="00C94DF2"/>
    <w:rsid w:val="00C95853"/>
    <w:rsid w:val="00C9769D"/>
    <w:rsid w:val="00C9779C"/>
    <w:rsid w:val="00CA3750"/>
    <w:rsid w:val="00CA7B55"/>
    <w:rsid w:val="00CB0967"/>
    <w:rsid w:val="00CB09DC"/>
    <w:rsid w:val="00CB1A6C"/>
    <w:rsid w:val="00CB4619"/>
    <w:rsid w:val="00CB50BB"/>
    <w:rsid w:val="00CB5964"/>
    <w:rsid w:val="00CB6BBF"/>
    <w:rsid w:val="00CB6DEF"/>
    <w:rsid w:val="00CC1C86"/>
    <w:rsid w:val="00CC21D8"/>
    <w:rsid w:val="00CC2322"/>
    <w:rsid w:val="00CC514B"/>
    <w:rsid w:val="00CC5AB3"/>
    <w:rsid w:val="00CD18D2"/>
    <w:rsid w:val="00CD2C01"/>
    <w:rsid w:val="00CD2DAA"/>
    <w:rsid w:val="00CD2EE2"/>
    <w:rsid w:val="00CD436E"/>
    <w:rsid w:val="00CD735B"/>
    <w:rsid w:val="00CE056E"/>
    <w:rsid w:val="00CE09DC"/>
    <w:rsid w:val="00CE0A6B"/>
    <w:rsid w:val="00CE1457"/>
    <w:rsid w:val="00CE17B7"/>
    <w:rsid w:val="00CE1ECB"/>
    <w:rsid w:val="00CE39C7"/>
    <w:rsid w:val="00CE4343"/>
    <w:rsid w:val="00CE57E3"/>
    <w:rsid w:val="00CE5E6C"/>
    <w:rsid w:val="00CE6127"/>
    <w:rsid w:val="00CE6E8D"/>
    <w:rsid w:val="00CE7581"/>
    <w:rsid w:val="00CE7597"/>
    <w:rsid w:val="00CF0C05"/>
    <w:rsid w:val="00CF1BF7"/>
    <w:rsid w:val="00CF226C"/>
    <w:rsid w:val="00CF2306"/>
    <w:rsid w:val="00CF26AE"/>
    <w:rsid w:val="00CF2E40"/>
    <w:rsid w:val="00CF5B34"/>
    <w:rsid w:val="00CF5BDB"/>
    <w:rsid w:val="00CF5D74"/>
    <w:rsid w:val="00D013D0"/>
    <w:rsid w:val="00D015A1"/>
    <w:rsid w:val="00D03A3A"/>
    <w:rsid w:val="00D0492D"/>
    <w:rsid w:val="00D055E9"/>
    <w:rsid w:val="00D116C3"/>
    <w:rsid w:val="00D11874"/>
    <w:rsid w:val="00D14970"/>
    <w:rsid w:val="00D214EA"/>
    <w:rsid w:val="00D22DB7"/>
    <w:rsid w:val="00D23B4B"/>
    <w:rsid w:val="00D24471"/>
    <w:rsid w:val="00D261C4"/>
    <w:rsid w:val="00D27760"/>
    <w:rsid w:val="00D27EB3"/>
    <w:rsid w:val="00D30B52"/>
    <w:rsid w:val="00D30DCC"/>
    <w:rsid w:val="00D333D6"/>
    <w:rsid w:val="00D33AA3"/>
    <w:rsid w:val="00D33AAC"/>
    <w:rsid w:val="00D357F9"/>
    <w:rsid w:val="00D359CC"/>
    <w:rsid w:val="00D40020"/>
    <w:rsid w:val="00D40C1C"/>
    <w:rsid w:val="00D41027"/>
    <w:rsid w:val="00D43463"/>
    <w:rsid w:val="00D43B0E"/>
    <w:rsid w:val="00D43F84"/>
    <w:rsid w:val="00D45541"/>
    <w:rsid w:val="00D457FF"/>
    <w:rsid w:val="00D5000C"/>
    <w:rsid w:val="00D500DD"/>
    <w:rsid w:val="00D509D9"/>
    <w:rsid w:val="00D51C38"/>
    <w:rsid w:val="00D5230C"/>
    <w:rsid w:val="00D53148"/>
    <w:rsid w:val="00D53E9C"/>
    <w:rsid w:val="00D54520"/>
    <w:rsid w:val="00D546D5"/>
    <w:rsid w:val="00D5471E"/>
    <w:rsid w:val="00D5576F"/>
    <w:rsid w:val="00D55A5A"/>
    <w:rsid w:val="00D56219"/>
    <w:rsid w:val="00D602E6"/>
    <w:rsid w:val="00D604AC"/>
    <w:rsid w:val="00D60732"/>
    <w:rsid w:val="00D60D7F"/>
    <w:rsid w:val="00D617B3"/>
    <w:rsid w:val="00D61B80"/>
    <w:rsid w:val="00D61BEA"/>
    <w:rsid w:val="00D639E3"/>
    <w:rsid w:val="00D64505"/>
    <w:rsid w:val="00D65FC5"/>
    <w:rsid w:val="00D672E7"/>
    <w:rsid w:val="00D709F0"/>
    <w:rsid w:val="00D72FA5"/>
    <w:rsid w:val="00D73C6B"/>
    <w:rsid w:val="00D74A35"/>
    <w:rsid w:val="00D754F8"/>
    <w:rsid w:val="00D7561D"/>
    <w:rsid w:val="00D75AB3"/>
    <w:rsid w:val="00D804B7"/>
    <w:rsid w:val="00D82ECD"/>
    <w:rsid w:val="00D83743"/>
    <w:rsid w:val="00D841FC"/>
    <w:rsid w:val="00D8593E"/>
    <w:rsid w:val="00D85ED5"/>
    <w:rsid w:val="00D875D4"/>
    <w:rsid w:val="00D87ADE"/>
    <w:rsid w:val="00D87BAC"/>
    <w:rsid w:val="00D87DB4"/>
    <w:rsid w:val="00D9052F"/>
    <w:rsid w:val="00D90605"/>
    <w:rsid w:val="00D92A43"/>
    <w:rsid w:val="00D94ACC"/>
    <w:rsid w:val="00D96122"/>
    <w:rsid w:val="00D96EF9"/>
    <w:rsid w:val="00D9782E"/>
    <w:rsid w:val="00D97F58"/>
    <w:rsid w:val="00DA17E9"/>
    <w:rsid w:val="00DA252F"/>
    <w:rsid w:val="00DA271B"/>
    <w:rsid w:val="00DA3639"/>
    <w:rsid w:val="00DA43C8"/>
    <w:rsid w:val="00DA63FA"/>
    <w:rsid w:val="00DA66CB"/>
    <w:rsid w:val="00DB129C"/>
    <w:rsid w:val="00DB13E5"/>
    <w:rsid w:val="00DB3C44"/>
    <w:rsid w:val="00DB3E0D"/>
    <w:rsid w:val="00DB6226"/>
    <w:rsid w:val="00DB6A73"/>
    <w:rsid w:val="00DB73CD"/>
    <w:rsid w:val="00DC0907"/>
    <w:rsid w:val="00DC1D74"/>
    <w:rsid w:val="00DC2091"/>
    <w:rsid w:val="00DC34E1"/>
    <w:rsid w:val="00DC4475"/>
    <w:rsid w:val="00DC4863"/>
    <w:rsid w:val="00DC5846"/>
    <w:rsid w:val="00DD02B6"/>
    <w:rsid w:val="00DD05E8"/>
    <w:rsid w:val="00DD212B"/>
    <w:rsid w:val="00DD2C9F"/>
    <w:rsid w:val="00DD38BF"/>
    <w:rsid w:val="00DD3A39"/>
    <w:rsid w:val="00DD4652"/>
    <w:rsid w:val="00DD5DA1"/>
    <w:rsid w:val="00DD63B0"/>
    <w:rsid w:val="00DD679A"/>
    <w:rsid w:val="00DD725D"/>
    <w:rsid w:val="00DE094C"/>
    <w:rsid w:val="00DE19D6"/>
    <w:rsid w:val="00DE223D"/>
    <w:rsid w:val="00DE711D"/>
    <w:rsid w:val="00DF0442"/>
    <w:rsid w:val="00DF10C2"/>
    <w:rsid w:val="00DF1153"/>
    <w:rsid w:val="00DF1583"/>
    <w:rsid w:val="00DF1724"/>
    <w:rsid w:val="00DF2510"/>
    <w:rsid w:val="00DF2B11"/>
    <w:rsid w:val="00DF5DEE"/>
    <w:rsid w:val="00DF7804"/>
    <w:rsid w:val="00DF7A2D"/>
    <w:rsid w:val="00E0293F"/>
    <w:rsid w:val="00E02CD9"/>
    <w:rsid w:val="00E047A6"/>
    <w:rsid w:val="00E04831"/>
    <w:rsid w:val="00E05185"/>
    <w:rsid w:val="00E11010"/>
    <w:rsid w:val="00E11223"/>
    <w:rsid w:val="00E11ABE"/>
    <w:rsid w:val="00E12345"/>
    <w:rsid w:val="00E133F3"/>
    <w:rsid w:val="00E13810"/>
    <w:rsid w:val="00E146F4"/>
    <w:rsid w:val="00E150FD"/>
    <w:rsid w:val="00E169ED"/>
    <w:rsid w:val="00E1775D"/>
    <w:rsid w:val="00E21762"/>
    <w:rsid w:val="00E2307B"/>
    <w:rsid w:val="00E24CA0"/>
    <w:rsid w:val="00E30402"/>
    <w:rsid w:val="00E31174"/>
    <w:rsid w:val="00E31424"/>
    <w:rsid w:val="00E33B32"/>
    <w:rsid w:val="00E33E7E"/>
    <w:rsid w:val="00E34856"/>
    <w:rsid w:val="00E354BE"/>
    <w:rsid w:val="00E35961"/>
    <w:rsid w:val="00E362AA"/>
    <w:rsid w:val="00E368E4"/>
    <w:rsid w:val="00E408EF"/>
    <w:rsid w:val="00E40D16"/>
    <w:rsid w:val="00E417E8"/>
    <w:rsid w:val="00E42910"/>
    <w:rsid w:val="00E44903"/>
    <w:rsid w:val="00E46959"/>
    <w:rsid w:val="00E46C4C"/>
    <w:rsid w:val="00E47221"/>
    <w:rsid w:val="00E513C1"/>
    <w:rsid w:val="00E5194C"/>
    <w:rsid w:val="00E52B46"/>
    <w:rsid w:val="00E53C56"/>
    <w:rsid w:val="00E5578E"/>
    <w:rsid w:val="00E56409"/>
    <w:rsid w:val="00E568C6"/>
    <w:rsid w:val="00E56B0D"/>
    <w:rsid w:val="00E618CF"/>
    <w:rsid w:val="00E62CF8"/>
    <w:rsid w:val="00E62D05"/>
    <w:rsid w:val="00E631F7"/>
    <w:rsid w:val="00E6704C"/>
    <w:rsid w:val="00E70742"/>
    <w:rsid w:val="00E7167B"/>
    <w:rsid w:val="00E719E8"/>
    <w:rsid w:val="00E769E7"/>
    <w:rsid w:val="00E76B2A"/>
    <w:rsid w:val="00E76D76"/>
    <w:rsid w:val="00E76F72"/>
    <w:rsid w:val="00E77D1C"/>
    <w:rsid w:val="00E800DC"/>
    <w:rsid w:val="00E82E43"/>
    <w:rsid w:val="00E83CDB"/>
    <w:rsid w:val="00E8413E"/>
    <w:rsid w:val="00E84600"/>
    <w:rsid w:val="00E861E3"/>
    <w:rsid w:val="00E91267"/>
    <w:rsid w:val="00E9404E"/>
    <w:rsid w:val="00E9410E"/>
    <w:rsid w:val="00E94FBF"/>
    <w:rsid w:val="00EA0B54"/>
    <w:rsid w:val="00EA1129"/>
    <w:rsid w:val="00EA17A4"/>
    <w:rsid w:val="00EA2753"/>
    <w:rsid w:val="00EA62A1"/>
    <w:rsid w:val="00EA7756"/>
    <w:rsid w:val="00EB058D"/>
    <w:rsid w:val="00EB1013"/>
    <w:rsid w:val="00EB1C96"/>
    <w:rsid w:val="00EB1D0F"/>
    <w:rsid w:val="00EB51A4"/>
    <w:rsid w:val="00EB6EEE"/>
    <w:rsid w:val="00EB7361"/>
    <w:rsid w:val="00EC0D00"/>
    <w:rsid w:val="00EC2685"/>
    <w:rsid w:val="00EC2E95"/>
    <w:rsid w:val="00EC302D"/>
    <w:rsid w:val="00EC327D"/>
    <w:rsid w:val="00EC3FBE"/>
    <w:rsid w:val="00EC4BE6"/>
    <w:rsid w:val="00EC4F52"/>
    <w:rsid w:val="00EC6A1F"/>
    <w:rsid w:val="00ED00E3"/>
    <w:rsid w:val="00ED0D0D"/>
    <w:rsid w:val="00ED2AEE"/>
    <w:rsid w:val="00ED2BA5"/>
    <w:rsid w:val="00ED37F8"/>
    <w:rsid w:val="00ED3C06"/>
    <w:rsid w:val="00EE0CC5"/>
    <w:rsid w:val="00EE1160"/>
    <w:rsid w:val="00EE26CC"/>
    <w:rsid w:val="00EE271D"/>
    <w:rsid w:val="00EE34FF"/>
    <w:rsid w:val="00EE37D9"/>
    <w:rsid w:val="00EE53DC"/>
    <w:rsid w:val="00EE6B2F"/>
    <w:rsid w:val="00EE6B5A"/>
    <w:rsid w:val="00EE722A"/>
    <w:rsid w:val="00EF1A8F"/>
    <w:rsid w:val="00EF34EC"/>
    <w:rsid w:val="00EF41CD"/>
    <w:rsid w:val="00EF46CC"/>
    <w:rsid w:val="00F014E3"/>
    <w:rsid w:val="00F021CF"/>
    <w:rsid w:val="00F03382"/>
    <w:rsid w:val="00F040F3"/>
    <w:rsid w:val="00F041E7"/>
    <w:rsid w:val="00F1197E"/>
    <w:rsid w:val="00F12C81"/>
    <w:rsid w:val="00F13500"/>
    <w:rsid w:val="00F14B7F"/>
    <w:rsid w:val="00F16898"/>
    <w:rsid w:val="00F20B8B"/>
    <w:rsid w:val="00F226BA"/>
    <w:rsid w:val="00F2398A"/>
    <w:rsid w:val="00F23B6F"/>
    <w:rsid w:val="00F23BF9"/>
    <w:rsid w:val="00F247E0"/>
    <w:rsid w:val="00F254E5"/>
    <w:rsid w:val="00F257F7"/>
    <w:rsid w:val="00F25BD4"/>
    <w:rsid w:val="00F3074B"/>
    <w:rsid w:val="00F321F2"/>
    <w:rsid w:val="00F3265B"/>
    <w:rsid w:val="00F33AD5"/>
    <w:rsid w:val="00F36E69"/>
    <w:rsid w:val="00F40D32"/>
    <w:rsid w:val="00F418B8"/>
    <w:rsid w:val="00F41F0D"/>
    <w:rsid w:val="00F432A9"/>
    <w:rsid w:val="00F44F17"/>
    <w:rsid w:val="00F46BF0"/>
    <w:rsid w:val="00F46E2C"/>
    <w:rsid w:val="00F47371"/>
    <w:rsid w:val="00F50429"/>
    <w:rsid w:val="00F51242"/>
    <w:rsid w:val="00F5133E"/>
    <w:rsid w:val="00F513E3"/>
    <w:rsid w:val="00F529F9"/>
    <w:rsid w:val="00F53E5F"/>
    <w:rsid w:val="00F55010"/>
    <w:rsid w:val="00F5549B"/>
    <w:rsid w:val="00F5575E"/>
    <w:rsid w:val="00F56A3A"/>
    <w:rsid w:val="00F575FA"/>
    <w:rsid w:val="00F57FDA"/>
    <w:rsid w:val="00F61AB5"/>
    <w:rsid w:val="00F62AF2"/>
    <w:rsid w:val="00F63C25"/>
    <w:rsid w:val="00F64103"/>
    <w:rsid w:val="00F653A2"/>
    <w:rsid w:val="00F65AD8"/>
    <w:rsid w:val="00F67C58"/>
    <w:rsid w:val="00F70E77"/>
    <w:rsid w:val="00F71910"/>
    <w:rsid w:val="00F731B3"/>
    <w:rsid w:val="00F7422B"/>
    <w:rsid w:val="00F74671"/>
    <w:rsid w:val="00F74D0C"/>
    <w:rsid w:val="00F76183"/>
    <w:rsid w:val="00F7638A"/>
    <w:rsid w:val="00F7661B"/>
    <w:rsid w:val="00F76A2B"/>
    <w:rsid w:val="00F77EAC"/>
    <w:rsid w:val="00F8325E"/>
    <w:rsid w:val="00F8496E"/>
    <w:rsid w:val="00F85630"/>
    <w:rsid w:val="00F85944"/>
    <w:rsid w:val="00F859C2"/>
    <w:rsid w:val="00F85A28"/>
    <w:rsid w:val="00F85AAA"/>
    <w:rsid w:val="00F85B1F"/>
    <w:rsid w:val="00F87916"/>
    <w:rsid w:val="00F90486"/>
    <w:rsid w:val="00F91A34"/>
    <w:rsid w:val="00F943C7"/>
    <w:rsid w:val="00F945F2"/>
    <w:rsid w:val="00F95A2F"/>
    <w:rsid w:val="00F96D08"/>
    <w:rsid w:val="00F96E5F"/>
    <w:rsid w:val="00FA0ECB"/>
    <w:rsid w:val="00FA10AC"/>
    <w:rsid w:val="00FA1CF3"/>
    <w:rsid w:val="00FA1DF7"/>
    <w:rsid w:val="00FA35CD"/>
    <w:rsid w:val="00FA3B56"/>
    <w:rsid w:val="00FA55F4"/>
    <w:rsid w:val="00FA5BFB"/>
    <w:rsid w:val="00FA627C"/>
    <w:rsid w:val="00FA6A57"/>
    <w:rsid w:val="00FA7ADD"/>
    <w:rsid w:val="00FB01CA"/>
    <w:rsid w:val="00FB17A9"/>
    <w:rsid w:val="00FB1991"/>
    <w:rsid w:val="00FB2929"/>
    <w:rsid w:val="00FB340B"/>
    <w:rsid w:val="00FB577A"/>
    <w:rsid w:val="00FB7A29"/>
    <w:rsid w:val="00FB7FBD"/>
    <w:rsid w:val="00FC0B89"/>
    <w:rsid w:val="00FC0DDE"/>
    <w:rsid w:val="00FC18E3"/>
    <w:rsid w:val="00FC2835"/>
    <w:rsid w:val="00FC4076"/>
    <w:rsid w:val="00FC409A"/>
    <w:rsid w:val="00FC45AA"/>
    <w:rsid w:val="00FC4F51"/>
    <w:rsid w:val="00FC5E78"/>
    <w:rsid w:val="00FC5FB1"/>
    <w:rsid w:val="00FC6494"/>
    <w:rsid w:val="00FC6B3B"/>
    <w:rsid w:val="00FC6EE1"/>
    <w:rsid w:val="00FD030D"/>
    <w:rsid w:val="00FD0B5D"/>
    <w:rsid w:val="00FD2224"/>
    <w:rsid w:val="00FD245A"/>
    <w:rsid w:val="00FD24B2"/>
    <w:rsid w:val="00FD2A88"/>
    <w:rsid w:val="00FD569A"/>
    <w:rsid w:val="00FD56E5"/>
    <w:rsid w:val="00FE07C8"/>
    <w:rsid w:val="00FE16F9"/>
    <w:rsid w:val="00FE1921"/>
    <w:rsid w:val="00FE24EE"/>
    <w:rsid w:val="00FE2785"/>
    <w:rsid w:val="00FE57D7"/>
    <w:rsid w:val="00FE6720"/>
    <w:rsid w:val="00FE7D8F"/>
    <w:rsid w:val="00FF1E0B"/>
    <w:rsid w:val="00FF2059"/>
    <w:rsid w:val="00FF62A7"/>
    <w:rsid w:val="00FF67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mk-MK" w:eastAsia="mk-MK"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3CF"/>
    <w:rPr>
      <w:rFonts w:ascii="Tahoma" w:hAnsi="Tahoma"/>
      <w:sz w:val="22"/>
      <w:szCs w:val="22"/>
      <w:lang w:val="en-US" w:eastAsia="en-US"/>
    </w:rPr>
  </w:style>
  <w:style w:type="paragraph" w:styleId="Heading1">
    <w:name w:val="heading 1"/>
    <w:basedOn w:val="Normal"/>
    <w:next w:val="Normal"/>
    <w:link w:val="Heading1Char"/>
    <w:uiPriority w:val="9"/>
    <w:qFormat/>
    <w:rsid w:val="00F432A9"/>
    <w:pPr>
      <w:keepNext/>
      <w:keepLines/>
      <w:numPr>
        <w:numId w:val="1"/>
      </w:numPr>
      <w:tabs>
        <w:tab w:val="left" w:pos="-4111"/>
      </w:tabs>
      <w:outlineLvl w:val="0"/>
    </w:pPr>
    <w:rPr>
      <w:rFonts w:eastAsia="Times New Roman" w:cs="Tahoma"/>
      <w:b/>
      <w:bCs/>
      <w:sz w:val="28"/>
      <w:szCs w:val="28"/>
      <w:lang w:val="mk-MK"/>
    </w:rPr>
  </w:style>
  <w:style w:type="paragraph" w:styleId="Heading2">
    <w:name w:val="heading 2"/>
    <w:basedOn w:val="Normal"/>
    <w:next w:val="Normal"/>
    <w:link w:val="Heading2Char"/>
    <w:autoRedefine/>
    <w:uiPriority w:val="9"/>
    <w:unhideWhenUsed/>
    <w:qFormat/>
    <w:rsid w:val="00C5550A"/>
    <w:pPr>
      <w:keepNext/>
      <w:keepLines/>
      <w:numPr>
        <w:ilvl w:val="1"/>
        <w:numId w:val="1"/>
      </w:numPr>
      <w:ind w:left="-4111"/>
      <w:jc w:val="left"/>
      <w:outlineLvl w:val="1"/>
    </w:pPr>
    <w:rPr>
      <w:rFonts w:eastAsia="Times New Roman" w:cs="Tahoma"/>
      <w:b/>
      <w:snapToGrid w:val="0"/>
      <w:w w:val="0"/>
    </w:rPr>
  </w:style>
  <w:style w:type="paragraph" w:styleId="Heading3">
    <w:name w:val="heading 3"/>
    <w:basedOn w:val="Heading2"/>
    <w:next w:val="Heading2"/>
    <w:link w:val="Heading3Char"/>
    <w:uiPriority w:val="9"/>
    <w:unhideWhenUsed/>
    <w:qFormat/>
    <w:rsid w:val="00672C4B"/>
    <w:pPr>
      <w:numPr>
        <w:ilvl w:val="2"/>
      </w:numPr>
      <w:tabs>
        <w:tab w:val="left" w:pos="567"/>
      </w:tabs>
      <w:ind w:left="567" w:hanging="141"/>
      <w:outlineLvl w:val="2"/>
    </w:pPr>
    <w:rPr>
      <w:rFonts w:eastAsia="Calibri"/>
    </w:rPr>
  </w:style>
  <w:style w:type="paragraph" w:styleId="Heading4">
    <w:name w:val="heading 4"/>
    <w:basedOn w:val="Heading3"/>
    <w:next w:val="Normal"/>
    <w:link w:val="Heading4Char"/>
    <w:uiPriority w:val="9"/>
    <w:unhideWhenUsed/>
    <w:qFormat/>
    <w:rsid w:val="001C0FED"/>
    <w:pPr>
      <w:numPr>
        <w:ilvl w:val="3"/>
      </w:numPr>
      <w:tabs>
        <w:tab w:val="left" w:pos="900"/>
      </w:tabs>
      <w:ind w:left="567" w:hanging="141"/>
      <w:outlineLvl w:val="3"/>
    </w:pPr>
  </w:style>
  <w:style w:type="paragraph" w:styleId="Heading5">
    <w:name w:val="heading 5"/>
    <w:basedOn w:val="Heading4"/>
    <w:next w:val="Normal"/>
    <w:link w:val="Heading5Char"/>
    <w:uiPriority w:val="9"/>
    <w:unhideWhenUsed/>
    <w:qFormat/>
    <w:rsid w:val="005653CF"/>
    <w:pPr>
      <w:numPr>
        <w:ilvl w:val="4"/>
      </w:numPr>
      <w:ind w:left="567" w:hanging="141"/>
      <w:outlineLvl w:val="4"/>
    </w:pPr>
  </w:style>
  <w:style w:type="paragraph" w:styleId="Heading6">
    <w:name w:val="heading 6"/>
    <w:basedOn w:val="Normal"/>
    <w:next w:val="Normal"/>
    <w:link w:val="Heading6Char"/>
    <w:uiPriority w:val="9"/>
    <w:unhideWhenUsed/>
    <w:qFormat/>
    <w:rsid w:val="00620347"/>
    <w:pPr>
      <w:keepNext/>
      <w:keepLines/>
      <w:numPr>
        <w:ilvl w:val="5"/>
        <w:numId w:val="1"/>
      </w:numPr>
      <w:outlineLvl w:val="5"/>
    </w:pPr>
    <w:rPr>
      <w:rFonts w:eastAsiaTheme="majorEastAsia" w:cstheme="majorBidi"/>
      <w:b/>
      <w:i/>
      <w:iCs/>
      <w:sz w:val="36"/>
    </w:rPr>
  </w:style>
  <w:style w:type="paragraph" w:styleId="Heading7">
    <w:name w:val="heading 7"/>
    <w:basedOn w:val="Normal"/>
    <w:next w:val="Normal"/>
    <w:link w:val="Heading7Char"/>
    <w:uiPriority w:val="9"/>
    <w:unhideWhenUsed/>
    <w:qFormat/>
    <w:rsid w:val="00BD2F10"/>
    <w:pPr>
      <w:keepNext/>
      <w:keepLines/>
      <w:spacing w:before="200"/>
      <w:outlineLvl w:val="6"/>
    </w:pPr>
    <w:rPr>
      <w:rFonts w:eastAsiaTheme="majorEastAsia" w:cs="Tahoma"/>
      <w:b/>
      <w:i/>
      <w:iCs/>
      <w:color w:val="404040" w:themeColor="text1" w:themeTint="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2A9"/>
    <w:rPr>
      <w:rFonts w:ascii="Tahoma" w:eastAsia="Times New Roman" w:hAnsi="Tahoma" w:cs="Tahoma"/>
      <w:b/>
      <w:bCs/>
      <w:sz w:val="28"/>
      <w:szCs w:val="28"/>
      <w:lang w:eastAsia="en-US"/>
    </w:rPr>
  </w:style>
  <w:style w:type="character" w:customStyle="1" w:styleId="Heading2Char">
    <w:name w:val="Heading 2 Char"/>
    <w:basedOn w:val="DefaultParagraphFont"/>
    <w:link w:val="Heading2"/>
    <w:uiPriority w:val="9"/>
    <w:rsid w:val="00C5550A"/>
    <w:rPr>
      <w:rFonts w:ascii="Tahoma" w:eastAsia="Times New Roman" w:hAnsi="Tahoma" w:cs="Tahoma"/>
      <w:b/>
      <w:snapToGrid w:val="0"/>
      <w:w w:val="0"/>
      <w:sz w:val="22"/>
      <w:szCs w:val="22"/>
      <w:lang w:val="en-US" w:eastAsia="en-US"/>
    </w:rPr>
  </w:style>
  <w:style w:type="character" w:customStyle="1" w:styleId="Heading3Char">
    <w:name w:val="Heading 3 Char"/>
    <w:basedOn w:val="DefaultParagraphFont"/>
    <w:link w:val="Heading3"/>
    <w:uiPriority w:val="9"/>
    <w:rsid w:val="00672C4B"/>
    <w:rPr>
      <w:rFonts w:ascii="Tahoma" w:hAnsi="Tahoma" w:cs="Tahoma"/>
      <w:b/>
      <w:snapToGrid w:val="0"/>
      <w:w w:val="0"/>
      <w:sz w:val="22"/>
      <w:szCs w:val="22"/>
      <w:lang w:eastAsia="en-US"/>
    </w:rPr>
  </w:style>
  <w:style w:type="character" w:customStyle="1" w:styleId="Heading4Char">
    <w:name w:val="Heading 4 Char"/>
    <w:basedOn w:val="DefaultParagraphFont"/>
    <w:link w:val="Heading4"/>
    <w:uiPriority w:val="9"/>
    <w:rsid w:val="001C0FED"/>
    <w:rPr>
      <w:rFonts w:ascii="Tahoma" w:hAnsi="Tahoma" w:cs="Tahoma"/>
      <w:b/>
      <w:snapToGrid w:val="0"/>
      <w:color w:val="000000"/>
      <w:w w:val="0"/>
      <w:sz w:val="22"/>
      <w:szCs w:val="22"/>
      <w:lang w:eastAsia="en-US"/>
    </w:rPr>
  </w:style>
  <w:style w:type="character" w:customStyle="1" w:styleId="Heading5Char">
    <w:name w:val="Heading 5 Char"/>
    <w:basedOn w:val="DefaultParagraphFont"/>
    <w:link w:val="Heading5"/>
    <w:uiPriority w:val="9"/>
    <w:rsid w:val="005653CF"/>
    <w:rPr>
      <w:rFonts w:ascii="Tahoma" w:hAnsi="Tahoma" w:cs="Tahoma"/>
      <w:b/>
      <w:snapToGrid w:val="0"/>
      <w:color w:val="000000"/>
      <w:w w:val="0"/>
      <w:sz w:val="22"/>
      <w:szCs w:val="22"/>
      <w:lang w:eastAsia="en-US"/>
    </w:rPr>
  </w:style>
  <w:style w:type="character" w:customStyle="1" w:styleId="Heading6Char">
    <w:name w:val="Heading 6 Char"/>
    <w:basedOn w:val="DefaultParagraphFont"/>
    <w:link w:val="Heading6"/>
    <w:uiPriority w:val="9"/>
    <w:rsid w:val="00620347"/>
    <w:rPr>
      <w:rFonts w:ascii="Tahoma" w:eastAsiaTheme="majorEastAsia" w:hAnsi="Tahoma" w:cstheme="majorBidi"/>
      <w:b/>
      <w:i/>
      <w:iCs/>
      <w:sz w:val="36"/>
      <w:szCs w:val="22"/>
      <w:lang w:val="en-US" w:eastAsia="en-US"/>
    </w:rPr>
  </w:style>
  <w:style w:type="character" w:customStyle="1" w:styleId="Heading7Char">
    <w:name w:val="Heading 7 Char"/>
    <w:basedOn w:val="DefaultParagraphFont"/>
    <w:link w:val="Heading7"/>
    <w:uiPriority w:val="9"/>
    <w:rsid w:val="00BD2F10"/>
    <w:rPr>
      <w:rFonts w:ascii="Tahoma" w:eastAsiaTheme="majorEastAsia" w:hAnsi="Tahoma" w:cs="Tahoma"/>
      <w:b/>
      <w:i/>
      <w:iCs/>
      <w:color w:val="404040" w:themeColor="text1" w:themeTint="BF"/>
      <w:sz w:val="32"/>
      <w:szCs w:val="32"/>
      <w:lang w:val="en-US" w:eastAsia="en-US"/>
    </w:rPr>
  </w:style>
  <w:style w:type="paragraph" w:styleId="Title">
    <w:name w:val="Title"/>
    <w:basedOn w:val="Normal"/>
    <w:next w:val="Normal"/>
    <w:link w:val="TitleChar"/>
    <w:qFormat/>
    <w:rsid w:val="00A55768"/>
    <w:pPr>
      <w:pBdr>
        <w:bottom w:val="single" w:sz="8" w:space="4" w:color="4F81BD"/>
      </w:pBdr>
      <w:spacing w:after="300"/>
      <w:contextualSpacing/>
    </w:pPr>
    <w:rPr>
      <w:rFonts w:eastAsia="Times New Roman"/>
      <w:color w:val="17365D"/>
      <w:spacing w:val="5"/>
      <w:kern w:val="28"/>
      <w:sz w:val="52"/>
      <w:szCs w:val="52"/>
    </w:rPr>
  </w:style>
  <w:style w:type="character" w:customStyle="1" w:styleId="TitleChar">
    <w:name w:val="Title Char"/>
    <w:basedOn w:val="DefaultParagraphFont"/>
    <w:link w:val="Title"/>
    <w:rsid w:val="00A55768"/>
    <w:rPr>
      <w:rFonts w:ascii="Tahoma" w:eastAsia="Times New Roman" w:hAnsi="Tahoma" w:cs="Times New Roman"/>
      <w:color w:val="17365D"/>
      <w:spacing w:val="5"/>
      <w:kern w:val="28"/>
      <w:sz w:val="52"/>
      <w:szCs w:val="52"/>
    </w:rPr>
  </w:style>
  <w:style w:type="paragraph" w:styleId="Subtitle">
    <w:name w:val="Subtitle"/>
    <w:basedOn w:val="Normal"/>
    <w:next w:val="Normal"/>
    <w:link w:val="SubtitleChar"/>
    <w:uiPriority w:val="11"/>
    <w:qFormat/>
    <w:rsid w:val="00A55768"/>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A55768"/>
    <w:rPr>
      <w:rFonts w:ascii="Cambria" w:eastAsia="Times New Roman" w:hAnsi="Cambria" w:cs="Times New Roman"/>
      <w:i/>
      <w:iCs/>
      <w:color w:val="4F81BD"/>
      <w:spacing w:val="15"/>
      <w:sz w:val="24"/>
      <w:szCs w:val="24"/>
    </w:rPr>
  </w:style>
  <w:style w:type="paragraph" w:styleId="BalloonText">
    <w:name w:val="Balloon Text"/>
    <w:basedOn w:val="Normal"/>
    <w:link w:val="BalloonTextChar"/>
    <w:uiPriority w:val="99"/>
    <w:semiHidden/>
    <w:unhideWhenUsed/>
    <w:rsid w:val="004A605A"/>
    <w:rPr>
      <w:rFonts w:cs="Tahoma"/>
      <w:sz w:val="16"/>
      <w:szCs w:val="16"/>
    </w:rPr>
  </w:style>
  <w:style w:type="character" w:customStyle="1" w:styleId="BalloonTextChar">
    <w:name w:val="Balloon Text Char"/>
    <w:basedOn w:val="DefaultParagraphFont"/>
    <w:link w:val="BalloonText"/>
    <w:uiPriority w:val="99"/>
    <w:semiHidden/>
    <w:rsid w:val="004A605A"/>
    <w:rPr>
      <w:rFonts w:ascii="Tahoma" w:hAnsi="Tahoma" w:cs="Tahoma"/>
      <w:sz w:val="16"/>
      <w:szCs w:val="16"/>
      <w:lang w:val="en-US" w:eastAsia="en-US"/>
    </w:rPr>
  </w:style>
  <w:style w:type="character" w:styleId="CommentReference">
    <w:name w:val="annotation reference"/>
    <w:basedOn w:val="DefaultParagraphFont"/>
    <w:uiPriority w:val="99"/>
    <w:semiHidden/>
    <w:unhideWhenUsed/>
    <w:rsid w:val="004A605A"/>
    <w:rPr>
      <w:sz w:val="16"/>
      <w:szCs w:val="16"/>
    </w:rPr>
  </w:style>
  <w:style w:type="paragraph" w:styleId="CommentText">
    <w:name w:val="annotation text"/>
    <w:basedOn w:val="Normal"/>
    <w:link w:val="CommentTextChar"/>
    <w:uiPriority w:val="99"/>
    <w:unhideWhenUsed/>
    <w:rsid w:val="004A605A"/>
    <w:rPr>
      <w:sz w:val="20"/>
      <w:szCs w:val="20"/>
    </w:rPr>
  </w:style>
  <w:style w:type="character" w:customStyle="1" w:styleId="CommentTextChar">
    <w:name w:val="Comment Text Char"/>
    <w:basedOn w:val="DefaultParagraphFont"/>
    <w:link w:val="CommentText"/>
    <w:uiPriority w:val="99"/>
    <w:rsid w:val="004A605A"/>
    <w:rPr>
      <w:rFonts w:ascii="Tahoma" w:hAnsi="Tahoma"/>
      <w:lang w:val="en-US" w:eastAsia="en-US"/>
    </w:rPr>
  </w:style>
  <w:style w:type="paragraph" w:styleId="CommentSubject">
    <w:name w:val="annotation subject"/>
    <w:basedOn w:val="CommentText"/>
    <w:next w:val="CommentText"/>
    <w:link w:val="CommentSubjectChar"/>
    <w:uiPriority w:val="99"/>
    <w:semiHidden/>
    <w:unhideWhenUsed/>
    <w:rsid w:val="004A605A"/>
    <w:rPr>
      <w:b/>
      <w:bCs/>
    </w:rPr>
  </w:style>
  <w:style w:type="character" w:customStyle="1" w:styleId="CommentSubjectChar">
    <w:name w:val="Comment Subject Char"/>
    <w:basedOn w:val="CommentTextChar"/>
    <w:link w:val="CommentSubject"/>
    <w:uiPriority w:val="99"/>
    <w:semiHidden/>
    <w:rsid w:val="004A605A"/>
    <w:rPr>
      <w:b/>
      <w:bCs/>
    </w:rPr>
  </w:style>
  <w:style w:type="paragraph" w:styleId="Revision">
    <w:name w:val="Revision"/>
    <w:hidden/>
    <w:uiPriority w:val="99"/>
    <w:semiHidden/>
    <w:rsid w:val="001018B9"/>
    <w:rPr>
      <w:rFonts w:ascii="Tahoma" w:hAnsi="Tahoma"/>
      <w:sz w:val="22"/>
      <w:szCs w:val="22"/>
      <w:lang w:val="en-US" w:eastAsia="en-US"/>
    </w:rPr>
  </w:style>
  <w:style w:type="paragraph" w:styleId="Header">
    <w:name w:val="header"/>
    <w:basedOn w:val="Normal"/>
    <w:link w:val="HeaderChar"/>
    <w:unhideWhenUsed/>
    <w:rsid w:val="00EC4F52"/>
    <w:pPr>
      <w:tabs>
        <w:tab w:val="center" w:pos="4680"/>
        <w:tab w:val="right" w:pos="9360"/>
      </w:tabs>
    </w:pPr>
  </w:style>
  <w:style w:type="character" w:customStyle="1" w:styleId="HeaderChar">
    <w:name w:val="Header Char"/>
    <w:basedOn w:val="DefaultParagraphFont"/>
    <w:link w:val="Header"/>
    <w:rsid w:val="00EC4F52"/>
    <w:rPr>
      <w:rFonts w:ascii="Tahoma" w:hAnsi="Tahoma"/>
      <w:sz w:val="22"/>
      <w:szCs w:val="22"/>
    </w:rPr>
  </w:style>
  <w:style w:type="paragraph" w:styleId="Footer">
    <w:name w:val="footer"/>
    <w:basedOn w:val="Normal"/>
    <w:link w:val="FooterChar"/>
    <w:uiPriority w:val="99"/>
    <w:unhideWhenUsed/>
    <w:rsid w:val="00EC4F52"/>
    <w:pPr>
      <w:tabs>
        <w:tab w:val="center" w:pos="4680"/>
        <w:tab w:val="right" w:pos="9360"/>
      </w:tabs>
    </w:pPr>
  </w:style>
  <w:style w:type="character" w:customStyle="1" w:styleId="FooterChar">
    <w:name w:val="Footer Char"/>
    <w:basedOn w:val="DefaultParagraphFont"/>
    <w:link w:val="Footer"/>
    <w:uiPriority w:val="99"/>
    <w:rsid w:val="00EC4F52"/>
    <w:rPr>
      <w:rFonts w:ascii="Tahoma" w:hAnsi="Tahoma"/>
      <w:sz w:val="22"/>
      <w:szCs w:val="22"/>
    </w:rPr>
  </w:style>
  <w:style w:type="paragraph" w:styleId="NormalWeb">
    <w:name w:val="Normal (Web)"/>
    <w:basedOn w:val="Normal"/>
    <w:uiPriority w:val="99"/>
    <w:unhideWhenUsed/>
    <w:rsid w:val="008452B6"/>
    <w:pPr>
      <w:spacing w:before="100" w:beforeAutospacing="1" w:after="100" w:afterAutospacing="1" w:line="384" w:lineRule="atLeast"/>
    </w:pPr>
    <w:rPr>
      <w:rFonts w:ascii="Times New Roman" w:eastAsia="Times New Roman" w:hAnsi="Times New Roman"/>
      <w:sz w:val="24"/>
      <w:szCs w:val="24"/>
    </w:rPr>
  </w:style>
  <w:style w:type="paragraph" w:styleId="FootnoteText">
    <w:name w:val="footnote text"/>
    <w:basedOn w:val="Normal"/>
    <w:link w:val="FootnoteTextChar"/>
    <w:uiPriority w:val="99"/>
    <w:unhideWhenUsed/>
    <w:rsid w:val="009F54CD"/>
    <w:rPr>
      <w:sz w:val="20"/>
      <w:szCs w:val="20"/>
    </w:rPr>
  </w:style>
  <w:style w:type="character" w:customStyle="1" w:styleId="FootnoteTextChar">
    <w:name w:val="Footnote Text Char"/>
    <w:basedOn w:val="DefaultParagraphFont"/>
    <w:link w:val="FootnoteText"/>
    <w:uiPriority w:val="99"/>
    <w:rsid w:val="009F54CD"/>
    <w:rPr>
      <w:rFonts w:ascii="Tahoma" w:hAnsi="Tahoma"/>
    </w:rPr>
  </w:style>
  <w:style w:type="character" w:styleId="FootnoteReference">
    <w:name w:val="footnote reference"/>
    <w:basedOn w:val="DefaultParagraphFont"/>
    <w:uiPriority w:val="99"/>
    <w:unhideWhenUsed/>
    <w:rsid w:val="009F54CD"/>
    <w:rPr>
      <w:vertAlign w:val="superscript"/>
    </w:rPr>
  </w:style>
  <w:style w:type="character" w:styleId="Hyperlink">
    <w:name w:val="Hyperlink"/>
    <w:basedOn w:val="DefaultParagraphFont"/>
    <w:uiPriority w:val="99"/>
    <w:unhideWhenUsed/>
    <w:rsid w:val="00E408EF"/>
    <w:rPr>
      <w:color w:val="0000FF"/>
      <w:u w:val="single"/>
    </w:rPr>
  </w:style>
  <w:style w:type="paragraph" w:styleId="ListParagraph">
    <w:name w:val="List Paragraph"/>
    <w:basedOn w:val="Normal"/>
    <w:qFormat/>
    <w:rsid w:val="002F1152"/>
    <w:pPr>
      <w:ind w:left="720"/>
      <w:contextualSpacing/>
    </w:pPr>
    <w:rPr>
      <w:rFonts w:ascii="Times New Roman" w:eastAsia="Times New Roman" w:hAnsi="Times New Roman"/>
      <w:sz w:val="20"/>
      <w:szCs w:val="20"/>
      <w:lang w:val="mk-MK"/>
    </w:rPr>
  </w:style>
  <w:style w:type="table" w:styleId="TableGrid">
    <w:name w:val="Table Grid"/>
    <w:basedOn w:val="TableNormal"/>
    <w:uiPriority w:val="59"/>
    <w:rsid w:val="00A125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257F9"/>
    <w:rPr>
      <w:b/>
      <w:sz w:val="20"/>
    </w:rPr>
  </w:style>
  <w:style w:type="paragraph" w:styleId="TOCHeading">
    <w:name w:val="TOC Heading"/>
    <w:basedOn w:val="Heading1"/>
    <w:next w:val="Normal"/>
    <w:uiPriority w:val="39"/>
    <w:unhideWhenUsed/>
    <w:qFormat/>
    <w:rsid w:val="00AD618F"/>
    <w:pPr>
      <w:numPr>
        <w:numId w:val="0"/>
      </w:numPr>
      <w:spacing w:before="480" w:line="276" w:lineRule="auto"/>
      <w:jc w:val="left"/>
      <w:outlineLvl w:val="9"/>
    </w:pPr>
    <w:rPr>
      <w:rFonts w:asciiTheme="majorHAnsi" w:eastAsiaTheme="majorEastAsia" w:hAnsiTheme="majorHAnsi" w:cstheme="majorBidi"/>
      <w:color w:val="365F91" w:themeColor="accent1" w:themeShade="BF"/>
      <w:lang w:val="en-US"/>
    </w:rPr>
  </w:style>
  <w:style w:type="paragraph" w:styleId="TOC1">
    <w:name w:val="toc 1"/>
    <w:basedOn w:val="Normal"/>
    <w:next w:val="Normal"/>
    <w:autoRedefine/>
    <w:uiPriority w:val="39"/>
    <w:unhideWhenUsed/>
    <w:rsid w:val="00EB6EEE"/>
    <w:pPr>
      <w:tabs>
        <w:tab w:val="left" w:pos="-3960"/>
        <w:tab w:val="right" w:leader="dot" w:pos="4860"/>
      </w:tabs>
      <w:spacing w:after="100"/>
      <w:ind w:left="-4140" w:hanging="360"/>
    </w:pPr>
    <w:rPr>
      <w:rFonts w:eastAsiaTheme="minorEastAsia" w:cs="Tahoma"/>
      <w:b/>
      <w:noProof/>
    </w:rPr>
  </w:style>
  <w:style w:type="paragraph" w:styleId="TOC3">
    <w:name w:val="toc 3"/>
    <w:basedOn w:val="Normal"/>
    <w:next w:val="Normal"/>
    <w:autoRedefine/>
    <w:uiPriority w:val="39"/>
    <w:unhideWhenUsed/>
    <w:rsid w:val="007562D9"/>
    <w:pPr>
      <w:tabs>
        <w:tab w:val="left" w:pos="-3600"/>
        <w:tab w:val="right" w:leader="dot" w:pos="4860"/>
        <w:tab w:val="right" w:leader="dot" w:pos="6840"/>
      </w:tabs>
      <w:spacing w:after="100"/>
      <w:ind w:left="-3600" w:hanging="540"/>
    </w:pPr>
  </w:style>
  <w:style w:type="paragraph" w:styleId="TOC4">
    <w:name w:val="toc 4"/>
    <w:basedOn w:val="Normal"/>
    <w:next w:val="Normal"/>
    <w:autoRedefine/>
    <w:uiPriority w:val="39"/>
    <w:unhideWhenUsed/>
    <w:rsid w:val="003978DD"/>
    <w:pPr>
      <w:spacing w:after="100"/>
      <w:ind w:left="660"/>
    </w:pPr>
  </w:style>
  <w:style w:type="character" w:styleId="LineNumber">
    <w:name w:val="line number"/>
    <w:basedOn w:val="DefaultParagraphFont"/>
    <w:uiPriority w:val="99"/>
    <w:semiHidden/>
    <w:unhideWhenUsed/>
    <w:rsid w:val="003978DD"/>
  </w:style>
  <w:style w:type="paragraph" w:styleId="TOC2">
    <w:name w:val="toc 2"/>
    <w:basedOn w:val="Normal"/>
    <w:next w:val="Normal"/>
    <w:autoRedefine/>
    <w:uiPriority w:val="39"/>
    <w:unhideWhenUsed/>
    <w:rsid w:val="007562D9"/>
    <w:pPr>
      <w:tabs>
        <w:tab w:val="left" w:pos="-3780"/>
        <w:tab w:val="right" w:leader="dot" w:pos="4860"/>
        <w:tab w:val="right" w:leader="dot" w:pos="9350"/>
      </w:tabs>
      <w:spacing w:line="360" w:lineRule="auto"/>
      <w:ind w:left="-3780" w:hanging="360"/>
    </w:pPr>
    <w:rPr>
      <w:b/>
    </w:rPr>
  </w:style>
  <w:style w:type="paragraph" w:styleId="TableofFigures">
    <w:name w:val="table of figures"/>
    <w:basedOn w:val="Normal"/>
    <w:next w:val="Normal"/>
    <w:uiPriority w:val="99"/>
    <w:unhideWhenUsed/>
    <w:rsid w:val="00F041E7"/>
  </w:style>
  <w:style w:type="paragraph" w:styleId="TOC6">
    <w:name w:val="toc 6"/>
    <w:basedOn w:val="Normal"/>
    <w:next w:val="Normal"/>
    <w:autoRedefine/>
    <w:uiPriority w:val="39"/>
    <w:unhideWhenUsed/>
    <w:rsid w:val="00EE26CC"/>
    <w:pPr>
      <w:tabs>
        <w:tab w:val="right" w:leader="dot" w:pos="4850"/>
      </w:tabs>
      <w:spacing w:after="100"/>
      <w:ind w:left="-4500"/>
    </w:pPr>
    <w:rPr>
      <w:b/>
    </w:rPr>
  </w:style>
  <w:style w:type="paragraph" w:styleId="BodyText">
    <w:name w:val="Body Text"/>
    <w:basedOn w:val="Normal"/>
    <w:link w:val="BodyTextChar"/>
    <w:uiPriority w:val="99"/>
    <w:semiHidden/>
    <w:unhideWhenUsed/>
    <w:rsid w:val="003257F9"/>
    <w:pPr>
      <w:spacing w:after="120" w:line="276" w:lineRule="auto"/>
      <w:jc w:val="left"/>
    </w:pPr>
    <w:rPr>
      <w:rFonts w:ascii="Calibri" w:hAnsi="Calibri"/>
    </w:rPr>
  </w:style>
  <w:style w:type="character" w:customStyle="1" w:styleId="BodyTextChar">
    <w:name w:val="Body Text Char"/>
    <w:basedOn w:val="DefaultParagraphFont"/>
    <w:link w:val="BodyText"/>
    <w:uiPriority w:val="99"/>
    <w:semiHidden/>
    <w:rsid w:val="003257F9"/>
    <w:rPr>
      <w:sz w:val="22"/>
      <w:szCs w:val="22"/>
      <w:lang w:val="en-US" w:eastAsia="en-US"/>
    </w:rPr>
  </w:style>
  <w:style w:type="paragraph" w:styleId="BodyTextFirstIndent">
    <w:name w:val="Body Text First Indent"/>
    <w:basedOn w:val="BodyText"/>
    <w:link w:val="BodyTextFirstIndentChar"/>
    <w:uiPriority w:val="99"/>
    <w:unhideWhenUsed/>
    <w:rsid w:val="00B2375B"/>
    <w:pPr>
      <w:spacing w:after="0" w:line="240" w:lineRule="auto"/>
      <w:ind w:firstLine="360"/>
      <w:jc w:val="both"/>
    </w:pPr>
    <w:rPr>
      <w:rFonts w:ascii="Tahoma" w:hAnsi="Tahoma"/>
    </w:rPr>
  </w:style>
  <w:style w:type="character" w:customStyle="1" w:styleId="BodyTextFirstIndentChar">
    <w:name w:val="Body Text First Indent Char"/>
    <w:basedOn w:val="BodyTextChar"/>
    <w:link w:val="BodyTextFirstIndent"/>
    <w:uiPriority w:val="99"/>
    <w:rsid w:val="00B2375B"/>
    <w:rPr>
      <w:rFonts w:ascii="Tahoma" w:hAnsi="Tahoma"/>
    </w:rPr>
  </w:style>
  <w:style w:type="paragraph" w:styleId="Quote">
    <w:name w:val="Quote"/>
    <w:basedOn w:val="Normal"/>
    <w:next w:val="Normal"/>
    <w:link w:val="QuoteChar"/>
    <w:uiPriority w:val="29"/>
    <w:qFormat/>
    <w:rsid w:val="008E6D94"/>
    <w:rPr>
      <w:i/>
      <w:iCs/>
      <w:color w:val="000000" w:themeColor="text1"/>
    </w:rPr>
  </w:style>
  <w:style w:type="character" w:customStyle="1" w:styleId="QuoteChar">
    <w:name w:val="Quote Char"/>
    <w:basedOn w:val="DefaultParagraphFont"/>
    <w:link w:val="Quote"/>
    <w:uiPriority w:val="29"/>
    <w:rsid w:val="008E6D94"/>
    <w:rPr>
      <w:rFonts w:ascii="Tahoma" w:hAnsi="Tahoma"/>
      <w:i/>
      <w:iCs/>
      <w:color w:val="000000" w:themeColor="text1"/>
      <w:sz w:val="22"/>
      <w:szCs w:val="22"/>
      <w:lang w:val="en-US" w:eastAsia="en-US"/>
    </w:rPr>
  </w:style>
  <w:style w:type="paragraph" w:customStyle="1" w:styleId="Default">
    <w:name w:val="Default"/>
    <w:rsid w:val="00BD2F10"/>
    <w:pPr>
      <w:autoSpaceDE w:val="0"/>
      <w:autoSpaceDN w:val="0"/>
      <w:adjustRightInd w:val="0"/>
      <w:jc w:val="left"/>
    </w:pPr>
    <w:rPr>
      <w:rFonts w:ascii="Tahoma" w:hAnsi="Tahoma" w:cs="Tahoma"/>
      <w:color w:val="000000"/>
      <w:sz w:val="24"/>
      <w:szCs w:val="24"/>
      <w:lang w:val="en-US"/>
    </w:rPr>
  </w:style>
  <w:style w:type="paragraph" w:styleId="TOC7">
    <w:name w:val="toc 7"/>
    <w:basedOn w:val="Normal"/>
    <w:next w:val="Normal"/>
    <w:autoRedefine/>
    <w:uiPriority w:val="39"/>
    <w:unhideWhenUsed/>
    <w:rsid w:val="00B61C5C"/>
    <w:pPr>
      <w:tabs>
        <w:tab w:val="right" w:leader="dot" w:pos="4850"/>
      </w:tabs>
      <w:spacing w:after="100"/>
      <w:ind w:left="-4536"/>
    </w:pPr>
    <w:rPr>
      <w:b/>
      <w:noProof/>
    </w:rPr>
  </w:style>
  <w:style w:type="character" w:customStyle="1" w:styleId="wbnbrmnormal2">
    <w:name w:val="wb_nbrm_normal2"/>
    <w:basedOn w:val="DefaultParagraphFont"/>
    <w:rsid w:val="00497517"/>
    <w:rPr>
      <w:rFonts w:ascii="Tahoma" w:hAnsi="Tahoma" w:cs="Tahoma" w:hint="default"/>
      <w:b w:val="0"/>
      <w:bCs w:val="0"/>
      <w:color w:val="404040"/>
      <w:sz w:val="18"/>
      <w:szCs w:val="18"/>
    </w:rPr>
  </w:style>
  <w:style w:type="paragraph" w:customStyle="1" w:styleId="Heading3II">
    <w:name w:val="Heading 3II"/>
    <w:basedOn w:val="Normal"/>
    <w:link w:val="Heading3IIChar"/>
    <w:qFormat/>
    <w:rsid w:val="00877709"/>
    <w:pPr>
      <w:keepNext/>
      <w:keepLines/>
      <w:numPr>
        <w:numId w:val="8"/>
      </w:numPr>
    </w:pPr>
    <w:rPr>
      <w:b/>
    </w:rPr>
  </w:style>
  <w:style w:type="character" w:customStyle="1" w:styleId="Heading3IIChar">
    <w:name w:val="Heading 3II Char"/>
    <w:basedOn w:val="DefaultParagraphFont"/>
    <w:link w:val="Heading3II"/>
    <w:rsid w:val="00877709"/>
    <w:rPr>
      <w:rFonts w:ascii="Tahoma" w:hAnsi="Tahoma"/>
      <w:b/>
      <w:sz w:val="22"/>
      <w:szCs w:val="22"/>
      <w:lang w:val="en-US" w:eastAsia="en-US"/>
    </w:rPr>
  </w:style>
  <w:style w:type="character" w:customStyle="1" w:styleId="hps">
    <w:name w:val="hps"/>
    <w:basedOn w:val="DefaultParagraphFont"/>
    <w:rsid w:val="002A11AC"/>
  </w:style>
  <w:style w:type="paragraph" w:customStyle="1" w:styleId="Style1">
    <w:name w:val="Style1"/>
    <w:basedOn w:val="Heading3"/>
    <w:link w:val="Style1Char"/>
    <w:qFormat/>
    <w:rsid w:val="002A11AC"/>
    <w:pPr>
      <w:numPr>
        <w:ilvl w:val="0"/>
        <w:numId w:val="11"/>
      </w:numPr>
      <w:tabs>
        <w:tab w:val="clear" w:pos="567"/>
      </w:tabs>
      <w:ind w:left="0" w:firstLine="6"/>
    </w:pPr>
    <w:rPr>
      <w:rFonts w:cs="Times New Roman"/>
      <w:snapToGrid/>
      <w:w w:val="100"/>
    </w:rPr>
  </w:style>
  <w:style w:type="character" w:customStyle="1" w:styleId="Style1Char">
    <w:name w:val="Style1 Char"/>
    <w:basedOn w:val="Heading3Char"/>
    <w:link w:val="Style1"/>
    <w:rsid w:val="002A11AC"/>
    <w:rPr>
      <w:b/>
    </w:rPr>
  </w:style>
  <w:style w:type="paragraph" w:customStyle="1" w:styleId="Style2">
    <w:name w:val="Style2"/>
    <w:basedOn w:val="Style1"/>
    <w:link w:val="Style2Char"/>
    <w:qFormat/>
    <w:rsid w:val="002A11AC"/>
    <w:pPr>
      <w:numPr>
        <w:numId w:val="0"/>
      </w:numPr>
      <w:ind w:firstLine="57"/>
    </w:pPr>
  </w:style>
  <w:style w:type="character" w:customStyle="1" w:styleId="Style2Char">
    <w:name w:val="Style2 Char"/>
    <w:basedOn w:val="Style1Char"/>
    <w:link w:val="Style2"/>
    <w:rsid w:val="002A11AC"/>
    <w:rPr>
      <w:b/>
    </w:rPr>
  </w:style>
  <w:style w:type="paragraph" w:customStyle="1" w:styleId="Style5">
    <w:name w:val="Style5"/>
    <w:basedOn w:val="Heading3"/>
    <w:link w:val="Style5Char"/>
    <w:qFormat/>
    <w:rsid w:val="002A11AC"/>
    <w:pPr>
      <w:numPr>
        <w:ilvl w:val="0"/>
        <w:numId w:val="13"/>
      </w:numPr>
      <w:tabs>
        <w:tab w:val="clear" w:pos="567"/>
      </w:tabs>
      <w:ind w:firstLine="57"/>
    </w:pPr>
    <w:rPr>
      <w:rFonts w:cs="Times New Roman"/>
      <w:snapToGrid/>
      <w:w w:val="100"/>
    </w:rPr>
  </w:style>
  <w:style w:type="character" w:customStyle="1" w:styleId="Style5Char">
    <w:name w:val="Style5 Char"/>
    <w:basedOn w:val="Heading3Char"/>
    <w:link w:val="Style5"/>
    <w:rsid w:val="002A11AC"/>
    <w:rPr>
      <w:b/>
    </w:rPr>
  </w:style>
  <w:style w:type="paragraph" w:customStyle="1" w:styleId="Heding2II">
    <w:name w:val="Heаding 2II"/>
    <w:link w:val="Heding2IIChar"/>
    <w:qFormat/>
    <w:rsid w:val="002A11AC"/>
    <w:pPr>
      <w:keepNext/>
      <w:keepLines/>
      <w:numPr>
        <w:numId w:val="14"/>
      </w:numPr>
    </w:pPr>
    <w:rPr>
      <w:rFonts w:ascii="Tahoma" w:eastAsia="Times New Roman" w:hAnsi="Tahoma" w:cs="Tahoma"/>
      <w:b/>
      <w:snapToGrid w:val="0"/>
      <w:w w:val="0"/>
      <w:sz w:val="22"/>
      <w:szCs w:val="22"/>
      <w:lang w:eastAsia="en-US"/>
    </w:rPr>
  </w:style>
  <w:style w:type="character" w:customStyle="1" w:styleId="Heding2IIChar">
    <w:name w:val="Heаding 2II Char"/>
    <w:basedOn w:val="DefaultParagraphFont"/>
    <w:link w:val="Heding2II"/>
    <w:rsid w:val="002A11AC"/>
    <w:rPr>
      <w:rFonts w:ascii="Tahoma" w:eastAsia="Times New Roman" w:hAnsi="Tahoma" w:cs="Tahoma"/>
      <w:b/>
      <w:snapToGrid w:val="0"/>
      <w:w w:val="0"/>
      <w:sz w:val="22"/>
      <w:szCs w:val="22"/>
      <w:lang w:eastAsia="en-US"/>
    </w:rPr>
  </w:style>
  <w:style w:type="paragraph" w:customStyle="1" w:styleId="Style4">
    <w:name w:val="Style4"/>
    <w:basedOn w:val="Heading3"/>
    <w:link w:val="Style4Char"/>
    <w:qFormat/>
    <w:rsid w:val="002A11AC"/>
    <w:pPr>
      <w:numPr>
        <w:ilvl w:val="0"/>
        <w:numId w:val="0"/>
      </w:numPr>
      <w:tabs>
        <w:tab w:val="clear" w:pos="567"/>
      </w:tabs>
      <w:ind w:left="567" w:hanging="141"/>
    </w:pPr>
    <w:rPr>
      <w:rFonts w:cs="Times New Roman"/>
      <w:snapToGrid/>
      <w:w w:val="100"/>
    </w:rPr>
  </w:style>
  <w:style w:type="character" w:customStyle="1" w:styleId="Style4Char">
    <w:name w:val="Style4 Char"/>
    <w:basedOn w:val="Heading3Char"/>
    <w:link w:val="Style4"/>
    <w:rsid w:val="002A11AC"/>
    <w:rPr>
      <w:b/>
      <w:lang w:val="en-US"/>
    </w:rPr>
  </w:style>
  <w:style w:type="character" w:styleId="FollowedHyperlink">
    <w:name w:val="FollowedHyperlink"/>
    <w:basedOn w:val="DefaultParagraphFont"/>
    <w:uiPriority w:val="99"/>
    <w:semiHidden/>
    <w:unhideWhenUsed/>
    <w:rsid w:val="006856D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56383843">
      <w:bodyDiv w:val="1"/>
      <w:marLeft w:val="0"/>
      <w:marRight w:val="0"/>
      <w:marTop w:val="0"/>
      <w:marBottom w:val="0"/>
      <w:divBdr>
        <w:top w:val="none" w:sz="0" w:space="0" w:color="auto"/>
        <w:left w:val="none" w:sz="0" w:space="0" w:color="auto"/>
        <w:bottom w:val="none" w:sz="0" w:space="0" w:color="auto"/>
        <w:right w:val="none" w:sz="0" w:space="0" w:color="auto"/>
      </w:divBdr>
    </w:div>
    <w:div w:id="382488286">
      <w:bodyDiv w:val="1"/>
      <w:marLeft w:val="0"/>
      <w:marRight w:val="0"/>
      <w:marTop w:val="0"/>
      <w:marBottom w:val="0"/>
      <w:divBdr>
        <w:top w:val="none" w:sz="0" w:space="0" w:color="auto"/>
        <w:left w:val="none" w:sz="0" w:space="0" w:color="auto"/>
        <w:bottom w:val="none" w:sz="0" w:space="0" w:color="auto"/>
        <w:right w:val="none" w:sz="0" w:space="0" w:color="auto"/>
      </w:divBdr>
    </w:div>
    <w:div w:id="1010067072">
      <w:bodyDiv w:val="1"/>
      <w:marLeft w:val="0"/>
      <w:marRight w:val="0"/>
      <w:marTop w:val="0"/>
      <w:marBottom w:val="0"/>
      <w:divBdr>
        <w:top w:val="none" w:sz="0" w:space="0" w:color="auto"/>
        <w:left w:val="none" w:sz="0" w:space="0" w:color="auto"/>
        <w:bottom w:val="none" w:sz="0" w:space="0" w:color="auto"/>
        <w:right w:val="none" w:sz="0" w:space="0" w:color="auto"/>
      </w:divBdr>
      <w:divsChild>
        <w:div w:id="1524248918">
          <w:marLeft w:val="0"/>
          <w:marRight w:val="0"/>
          <w:marTop w:val="0"/>
          <w:marBottom w:val="0"/>
          <w:divBdr>
            <w:top w:val="none" w:sz="0" w:space="0" w:color="auto"/>
            <w:left w:val="none" w:sz="0" w:space="0" w:color="auto"/>
            <w:bottom w:val="none" w:sz="0" w:space="0" w:color="auto"/>
            <w:right w:val="none" w:sz="0" w:space="0" w:color="auto"/>
          </w:divBdr>
          <w:divsChild>
            <w:div w:id="645234225">
              <w:marLeft w:val="0"/>
              <w:marRight w:val="0"/>
              <w:marTop w:val="0"/>
              <w:marBottom w:val="0"/>
              <w:divBdr>
                <w:top w:val="none" w:sz="0" w:space="0" w:color="auto"/>
                <w:left w:val="none" w:sz="0" w:space="0" w:color="auto"/>
                <w:bottom w:val="none" w:sz="0" w:space="0" w:color="auto"/>
                <w:right w:val="none" w:sz="0" w:space="0" w:color="auto"/>
              </w:divBdr>
              <w:divsChild>
                <w:div w:id="11360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57883">
      <w:bodyDiv w:val="1"/>
      <w:marLeft w:val="0"/>
      <w:marRight w:val="0"/>
      <w:marTop w:val="0"/>
      <w:marBottom w:val="0"/>
      <w:divBdr>
        <w:top w:val="none" w:sz="0" w:space="0" w:color="auto"/>
        <w:left w:val="none" w:sz="0" w:space="0" w:color="auto"/>
        <w:bottom w:val="none" w:sz="0" w:space="0" w:color="auto"/>
        <w:right w:val="none" w:sz="0" w:space="0" w:color="auto"/>
      </w:divBdr>
    </w:div>
    <w:div w:id="1721856812">
      <w:bodyDiv w:val="1"/>
      <w:marLeft w:val="0"/>
      <w:marRight w:val="0"/>
      <w:marTop w:val="0"/>
      <w:marBottom w:val="0"/>
      <w:divBdr>
        <w:top w:val="none" w:sz="0" w:space="0" w:color="auto"/>
        <w:left w:val="none" w:sz="0" w:space="0" w:color="auto"/>
        <w:bottom w:val="none" w:sz="0" w:space="0" w:color="auto"/>
        <w:right w:val="none" w:sz="0" w:space="0" w:color="auto"/>
      </w:divBdr>
    </w:div>
    <w:div w:id="2077313175">
      <w:bodyDiv w:val="1"/>
      <w:marLeft w:val="0"/>
      <w:marRight w:val="0"/>
      <w:marTop w:val="0"/>
      <w:marBottom w:val="0"/>
      <w:divBdr>
        <w:top w:val="none" w:sz="0" w:space="0" w:color="auto"/>
        <w:left w:val="none" w:sz="0" w:space="0" w:color="auto"/>
        <w:bottom w:val="none" w:sz="0" w:space="0" w:color="auto"/>
        <w:right w:val="none" w:sz="0" w:space="0" w:color="auto"/>
      </w:divBdr>
      <w:divsChild>
        <w:div w:id="492449555">
          <w:marLeft w:val="0"/>
          <w:marRight w:val="0"/>
          <w:marTop w:val="0"/>
          <w:marBottom w:val="0"/>
          <w:divBdr>
            <w:top w:val="none" w:sz="0" w:space="0" w:color="auto"/>
            <w:left w:val="none" w:sz="0" w:space="0" w:color="auto"/>
            <w:bottom w:val="none" w:sz="0" w:space="0" w:color="auto"/>
            <w:right w:val="none" w:sz="0" w:space="0" w:color="auto"/>
          </w:divBdr>
          <w:divsChild>
            <w:div w:id="326255011">
              <w:marLeft w:val="0"/>
              <w:marRight w:val="0"/>
              <w:marTop w:val="0"/>
              <w:marBottom w:val="0"/>
              <w:divBdr>
                <w:top w:val="none" w:sz="0" w:space="0" w:color="auto"/>
                <w:left w:val="none" w:sz="0" w:space="0" w:color="auto"/>
                <w:bottom w:val="none" w:sz="0" w:space="0" w:color="auto"/>
                <w:right w:val="none" w:sz="0" w:space="0" w:color="auto"/>
              </w:divBdr>
              <w:divsChild>
                <w:div w:id="123982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32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117" Type="http://schemas.openxmlformats.org/officeDocument/2006/relationships/image" Target="media/image108.wmf"/><Relationship Id="rId21" Type="http://schemas.openxmlformats.org/officeDocument/2006/relationships/image" Target="media/image11.wmf"/><Relationship Id="rId42" Type="http://schemas.openxmlformats.org/officeDocument/2006/relationships/image" Target="media/image32.wmf"/><Relationship Id="rId47" Type="http://schemas.openxmlformats.org/officeDocument/2006/relationships/image" Target="media/image37.wmf"/><Relationship Id="rId63" Type="http://schemas.openxmlformats.org/officeDocument/2006/relationships/image" Target="media/image53.wmf"/><Relationship Id="rId68" Type="http://schemas.openxmlformats.org/officeDocument/2006/relationships/image" Target="media/image58.wmf"/><Relationship Id="rId84" Type="http://schemas.openxmlformats.org/officeDocument/2006/relationships/image" Target="media/image74.wmf"/><Relationship Id="rId89" Type="http://schemas.openxmlformats.org/officeDocument/2006/relationships/image" Target="media/image79.wmf"/><Relationship Id="rId112" Type="http://schemas.openxmlformats.org/officeDocument/2006/relationships/image" Target="media/image103.wmf"/><Relationship Id="rId133" Type="http://schemas.openxmlformats.org/officeDocument/2006/relationships/image" Target="media/image124.wmf"/><Relationship Id="rId138" Type="http://schemas.openxmlformats.org/officeDocument/2006/relationships/image" Target="media/image129.wmf"/><Relationship Id="rId16" Type="http://schemas.openxmlformats.org/officeDocument/2006/relationships/image" Target="media/image6.wmf"/><Relationship Id="rId107" Type="http://schemas.openxmlformats.org/officeDocument/2006/relationships/image" Target="media/image98.wmf"/><Relationship Id="rId11" Type="http://schemas.openxmlformats.org/officeDocument/2006/relationships/footer" Target="footer2.xml"/><Relationship Id="rId32" Type="http://schemas.openxmlformats.org/officeDocument/2006/relationships/image" Target="media/image22.wmf"/><Relationship Id="rId37" Type="http://schemas.openxmlformats.org/officeDocument/2006/relationships/image" Target="media/image27.wmf"/><Relationship Id="rId53" Type="http://schemas.openxmlformats.org/officeDocument/2006/relationships/image" Target="media/image43.wmf"/><Relationship Id="rId58" Type="http://schemas.openxmlformats.org/officeDocument/2006/relationships/image" Target="media/image48.wmf"/><Relationship Id="rId74" Type="http://schemas.openxmlformats.org/officeDocument/2006/relationships/image" Target="media/image64.wmf"/><Relationship Id="rId79" Type="http://schemas.openxmlformats.org/officeDocument/2006/relationships/image" Target="media/image69.wmf"/><Relationship Id="rId102" Type="http://schemas.openxmlformats.org/officeDocument/2006/relationships/image" Target="media/image93.wmf"/><Relationship Id="rId123" Type="http://schemas.openxmlformats.org/officeDocument/2006/relationships/image" Target="media/image114.wmf"/><Relationship Id="rId128" Type="http://schemas.openxmlformats.org/officeDocument/2006/relationships/image" Target="media/image119.wmf"/><Relationship Id="rId5" Type="http://schemas.openxmlformats.org/officeDocument/2006/relationships/webSettings" Target="webSettings.xml"/><Relationship Id="rId90" Type="http://schemas.openxmlformats.org/officeDocument/2006/relationships/image" Target="media/image80.wmf"/><Relationship Id="rId95" Type="http://schemas.openxmlformats.org/officeDocument/2006/relationships/image" Target="media/image86.wmf"/><Relationship Id="rId22" Type="http://schemas.openxmlformats.org/officeDocument/2006/relationships/image" Target="media/image12.wmf"/><Relationship Id="rId27" Type="http://schemas.openxmlformats.org/officeDocument/2006/relationships/image" Target="media/image17.wmf"/><Relationship Id="rId43" Type="http://schemas.openxmlformats.org/officeDocument/2006/relationships/image" Target="media/image33.wmf"/><Relationship Id="rId48" Type="http://schemas.openxmlformats.org/officeDocument/2006/relationships/image" Target="media/image38.wmf"/><Relationship Id="rId64" Type="http://schemas.openxmlformats.org/officeDocument/2006/relationships/image" Target="media/image54.wmf"/><Relationship Id="rId69" Type="http://schemas.openxmlformats.org/officeDocument/2006/relationships/image" Target="media/image59.wmf"/><Relationship Id="rId113" Type="http://schemas.openxmlformats.org/officeDocument/2006/relationships/image" Target="media/image104.wmf"/><Relationship Id="rId118" Type="http://schemas.openxmlformats.org/officeDocument/2006/relationships/image" Target="media/image109.wmf"/><Relationship Id="rId134" Type="http://schemas.openxmlformats.org/officeDocument/2006/relationships/image" Target="media/image125.wmf"/><Relationship Id="rId139" Type="http://schemas.openxmlformats.org/officeDocument/2006/relationships/image" Target="media/image130.emf"/><Relationship Id="rId8" Type="http://schemas.openxmlformats.org/officeDocument/2006/relationships/header" Target="header1.xml"/><Relationship Id="rId51" Type="http://schemas.openxmlformats.org/officeDocument/2006/relationships/image" Target="media/image41.wmf"/><Relationship Id="rId72" Type="http://schemas.openxmlformats.org/officeDocument/2006/relationships/image" Target="media/image62.wmf"/><Relationship Id="rId80" Type="http://schemas.openxmlformats.org/officeDocument/2006/relationships/image" Target="media/image70.wmf"/><Relationship Id="rId85" Type="http://schemas.openxmlformats.org/officeDocument/2006/relationships/image" Target="media/image75.wmf"/><Relationship Id="rId93" Type="http://schemas.openxmlformats.org/officeDocument/2006/relationships/image" Target="media/image83.wmf"/><Relationship Id="rId98" Type="http://schemas.openxmlformats.org/officeDocument/2006/relationships/image" Target="media/image89.wmf"/><Relationship Id="rId121" Type="http://schemas.openxmlformats.org/officeDocument/2006/relationships/image" Target="media/image112.wmf"/><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image" Target="media/image57.wmf"/><Relationship Id="rId103" Type="http://schemas.openxmlformats.org/officeDocument/2006/relationships/image" Target="media/image94.wmf"/><Relationship Id="rId108" Type="http://schemas.openxmlformats.org/officeDocument/2006/relationships/image" Target="media/image99.wmf"/><Relationship Id="rId116" Type="http://schemas.openxmlformats.org/officeDocument/2006/relationships/image" Target="media/image107.wmf"/><Relationship Id="rId124" Type="http://schemas.openxmlformats.org/officeDocument/2006/relationships/image" Target="media/image115.wmf"/><Relationship Id="rId129" Type="http://schemas.openxmlformats.org/officeDocument/2006/relationships/image" Target="media/image120.wmf"/><Relationship Id="rId137" Type="http://schemas.openxmlformats.org/officeDocument/2006/relationships/image" Target="media/image128.wmf"/><Relationship Id="rId20" Type="http://schemas.openxmlformats.org/officeDocument/2006/relationships/image" Target="media/image10.wmf"/><Relationship Id="rId41" Type="http://schemas.openxmlformats.org/officeDocument/2006/relationships/image" Target="media/image31.wmf"/><Relationship Id="rId54" Type="http://schemas.openxmlformats.org/officeDocument/2006/relationships/image" Target="media/image44.wmf"/><Relationship Id="rId62" Type="http://schemas.openxmlformats.org/officeDocument/2006/relationships/image" Target="media/image52.wmf"/><Relationship Id="rId70" Type="http://schemas.openxmlformats.org/officeDocument/2006/relationships/image" Target="media/image60.wmf"/><Relationship Id="rId75" Type="http://schemas.openxmlformats.org/officeDocument/2006/relationships/image" Target="media/image65.wmf"/><Relationship Id="rId83" Type="http://schemas.openxmlformats.org/officeDocument/2006/relationships/image" Target="media/image73.wmf"/><Relationship Id="rId88" Type="http://schemas.openxmlformats.org/officeDocument/2006/relationships/image" Target="media/image78.wmf"/><Relationship Id="rId91" Type="http://schemas.openxmlformats.org/officeDocument/2006/relationships/image" Target="media/image81.wmf"/><Relationship Id="rId96" Type="http://schemas.openxmlformats.org/officeDocument/2006/relationships/image" Target="media/image87.emf"/><Relationship Id="rId111" Type="http://schemas.openxmlformats.org/officeDocument/2006/relationships/image" Target="media/image102.wmf"/><Relationship Id="rId132" Type="http://schemas.openxmlformats.org/officeDocument/2006/relationships/image" Target="media/image123.wmf"/><Relationship Id="rId140" Type="http://schemas.openxmlformats.org/officeDocument/2006/relationships/image" Target="media/image13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9.wmf"/><Relationship Id="rId57" Type="http://schemas.openxmlformats.org/officeDocument/2006/relationships/image" Target="media/image47.wmf"/><Relationship Id="rId106" Type="http://schemas.openxmlformats.org/officeDocument/2006/relationships/image" Target="media/image97.wmf"/><Relationship Id="rId114" Type="http://schemas.openxmlformats.org/officeDocument/2006/relationships/image" Target="media/image105.wmf"/><Relationship Id="rId119" Type="http://schemas.openxmlformats.org/officeDocument/2006/relationships/image" Target="media/image110.wmf"/><Relationship Id="rId127" Type="http://schemas.openxmlformats.org/officeDocument/2006/relationships/image" Target="media/image118.wmf"/><Relationship Id="rId10" Type="http://schemas.openxmlformats.org/officeDocument/2006/relationships/footer" Target="footer1.xml"/><Relationship Id="rId31" Type="http://schemas.openxmlformats.org/officeDocument/2006/relationships/image" Target="media/image21.wmf"/><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image" Target="media/image50.wmf"/><Relationship Id="rId65" Type="http://schemas.openxmlformats.org/officeDocument/2006/relationships/image" Target="media/image55.wmf"/><Relationship Id="rId73" Type="http://schemas.openxmlformats.org/officeDocument/2006/relationships/image" Target="media/image63.wmf"/><Relationship Id="rId78" Type="http://schemas.openxmlformats.org/officeDocument/2006/relationships/image" Target="media/image68.wmf"/><Relationship Id="rId81" Type="http://schemas.openxmlformats.org/officeDocument/2006/relationships/image" Target="media/image71.wmf"/><Relationship Id="rId86" Type="http://schemas.openxmlformats.org/officeDocument/2006/relationships/image" Target="media/image76.wmf"/><Relationship Id="rId94" Type="http://schemas.openxmlformats.org/officeDocument/2006/relationships/image" Target="media/image84.wmf"/><Relationship Id="rId99" Type="http://schemas.openxmlformats.org/officeDocument/2006/relationships/image" Target="media/image90.wmf"/><Relationship Id="rId101" Type="http://schemas.openxmlformats.org/officeDocument/2006/relationships/image" Target="media/image92.wmf"/><Relationship Id="rId122" Type="http://schemas.openxmlformats.org/officeDocument/2006/relationships/image" Target="media/image113.wmf"/><Relationship Id="rId130" Type="http://schemas.openxmlformats.org/officeDocument/2006/relationships/image" Target="media/image121.wmf"/><Relationship Id="rId135" Type="http://schemas.openxmlformats.org/officeDocument/2006/relationships/image" Target="media/image126.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wmf"/><Relationship Id="rId18" Type="http://schemas.openxmlformats.org/officeDocument/2006/relationships/image" Target="media/image8.wmf"/><Relationship Id="rId39" Type="http://schemas.openxmlformats.org/officeDocument/2006/relationships/image" Target="media/image29.wmf"/><Relationship Id="rId109" Type="http://schemas.openxmlformats.org/officeDocument/2006/relationships/image" Target="media/image100.wmf"/><Relationship Id="rId34" Type="http://schemas.openxmlformats.org/officeDocument/2006/relationships/image" Target="media/image24.wmf"/><Relationship Id="rId50" Type="http://schemas.openxmlformats.org/officeDocument/2006/relationships/image" Target="media/image40.wmf"/><Relationship Id="rId55" Type="http://schemas.openxmlformats.org/officeDocument/2006/relationships/image" Target="media/image45.wmf"/><Relationship Id="rId76" Type="http://schemas.openxmlformats.org/officeDocument/2006/relationships/image" Target="media/image66.wmf"/><Relationship Id="rId97" Type="http://schemas.openxmlformats.org/officeDocument/2006/relationships/image" Target="media/image88.wmf"/><Relationship Id="rId104" Type="http://schemas.openxmlformats.org/officeDocument/2006/relationships/image" Target="media/image95.wmf"/><Relationship Id="rId120" Type="http://schemas.openxmlformats.org/officeDocument/2006/relationships/image" Target="media/image111.wmf"/><Relationship Id="rId125" Type="http://schemas.openxmlformats.org/officeDocument/2006/relationships/image" Target="media/image116.wmf"/><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wmf"/><Relationship Id="rId92" Type="http://schemas.openxmlformats.org/officeDocument/2006/relationships/image" Target="media/image82.wmf"/><Relationship Id="rId2" Type="http://schemas.openxmlformats.org/officeDocument/2006/relationships/numbering" Target="numbering.xml"/><Relationship Id="rId29" Type="http://schemas.openxmlformats.org/officeDocument/2006/relationships/image" Target="media/image19.wmf"/><Relationship Id="rId24" Type="http://schemas.openxmlformats.org/officeDocument/2006/relationships/image" Target="media/image14.wmf"/><Relationship Id="rId40" Type="http://schemas.openxmlformats.org/officeDocument/2006/relationships/image" Target="media/image30.wmf"/><Relationship Id="rId45" Type="http://schemas.openxmlformats.org/officeDocument/2006/relationships/image" Target="media/image35.wmf"/><Relationship Id="rId66" Type="http://schemas.openxmlformats.org/officeDocument/2006/relationships/image" Target="media/image56.wmf"/><Relationship Id="rId87" Type="http://schemas.openxmlformats.org/officeDocument/2006/relationships/image" Target="media/image77.wmf"/><Relationship Id="rId110" Type="http://schemas.openxmlformats.org/officeDocument/2006/relationships/image" Target="media/image101.wmf"/><Relationship Id="rId115" Type="http://schemas.openxmlformats.org/officeDocument/2006/relationships/image" Target="media/image106.wmf"/><Relationship Id="rId131" Type="http://schemas.openxmlformats.org/officeDocument/2006/relationships/image" Target="media/image122.wmf"/><Relationship Id="rId136" Type="http://schemas.openxmlformats.org/officeDocument/2006/relationships/image" Target="media/image127.wmf"/><Relationship Id="rId61" Type="http://schemas.openxmlformats.org/officeDocument/2006/relationships/image" Target="media/image51.wmf"/><Relationship Id="rId82" Type="http://schemas.openxmlformats.org/officeDocument/2006/relationships/image" Target="media/image72.wmf"/><Relationship Id="rId19" Type="http://schemas.openxmlformats.org/officeDocument/2006/relationships/image" Target="media/image9.wmf"/><Relationship Id="rId14" Type="http://schemas.openxmlformats.org/officeDocument/2006/relationships/image" Target="media/image4.wmf"/><Relationship Id="rId30" Type="http://schemas.openxmlformats.org/officeDocument/2006/relationships/image" Target="media/image20.wmf"/><Relationship Id="rId35" Type="http://schemas.openxmlformats.org/officeDocument/2006/relationships/image" Target="media/image25.wmf"/><Relationship Id="rId56" Type="http://schemas.openxmlformats.org/officeDocument/2006/relationships/image" Target="media/image46.wmf"/><Relationship Id="rId77" Type="http://schemas.openxmlformats.org/officeDocument/2006/relationships/image" Target="media/image67.wmf"/><Relationship Id="rId100" Type="http://schemas.openxmlformats.org/officeDocument/2006/relationships/image" Target="media/image91.wmf"/><Relationship Id="rId105" Type="http://schemas.openxmlformats.org/officeDocument/2006/relationships/image" Target="media/image96.wmf"/><Relationship Id="rId126" Type="http://schemas.openxmlformats.org/officeDocument/2006/relationships/image" Target="media/image117.wmf"/></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5.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1E556-AA62-4A56-9BCF-7074ADC6B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677</TotalTime>
  <Pages>82</Pages>
  <Words>18723</Words>
  <Characters>106722</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НАРОДНА БАНКА НА РЕПУБЛИКА МАКЕДОНИЈА</vt:lpstr>
    </vt:vector>
  </TitlesOfParts>
  <Company>Narodna Banka na RM</Company>
  <LinksUpToDate>false</LinksUpToDate>
  <CharactersWithSpaces>125195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НАРОДНА БАНКА НА РЕПУБЛИКА МАКЕДОНИЈА</dc:title>
  <dc:creator>Tatjana Sokolova</dc:creator>
  <cp:lastModifiedBy>NBRM</cp:lastModifiedBy>
  <cp:revision>80</cp:revision>
  <cp:lastPrinted>2014-04-17T10:35:00Z</cp:lastPrinted>
  <dcterms:created xsi:type="dcterms:W3CDTF">2014-02-03T09:30:00Z</dcterms:created>
  <dcterms:modified xsi:type="dcterms:W3CDTF">2014-07-16T12:34:00Z</dcterms:modified>
</cp:coreProperties>
</file>